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ascii="Times New Roman" w:hAnsi="Times New Roman" w:eastAsia="黑体"/>
          <w:sz w:val="28"/>
          <w:szCs w:val="30"/>
        </w:rPr>
      </w:pPr>
    </w:p>
    <w:p>
      <w:pPr>
        <w:jc w:val="right"/>
        <w:rPr>
          <w:rFonts w:ascii="Times New Roman" w:hAnsi="Times New Roman" w:eastAsia="黑体"/>
          <w:sz w:val="28"/>
          <w:szCs w:val="30"/>
        </w:rPr>
      </w:pPr>
    </w:p>
    <w:p>
      <w:pPr>
        <w:jc w:val="right"/>
        <w:rPr>
          <w:rFonts w:ascii="Times New Roman" w:hAnsi="Times New Roman" w:eastAsia="黑体"/>
          <w:sz w:val="36"/>
          <w:szCs w:val="36"/>
        </w:rPr>
      </w:pPr>
    </w:p>
    <w:p>
      <w:pPr>
        <w:jc w:val="center"/>
        <w:rPr>
          <w:rFonts w:ascii="Times New Roman" w:hAnsi="Times New Roman" w:eastAsia="黑体"/>
          <w:sz w:val="36"/>
          <w:szCs w:val="36"/>
        </w:rPr>
      </w:pPr>
    </w:p>
    <w:p>
      <w:pPr>
        <w:spacing w:line="300" w:lineRule="auto"/>
        <w:rPr>
          <w:rFonts w:ascii="Times New Roman" w:hAnsi="Times New Roman" w:eastAsia="黑体"/>
          <w:sz w:val="36"/>
          <w:szCs w:val="36"/>
        </w:rPr>
      </w:pPr>
    </w:p>
    <w:p>
      <w:pPr>
        <w:spacing w:line="300" w:lineRule="auto"/>
        <w:jc w:val="center"/>
        <w:rPr>
          <w:rFonts w:ascii="Times New Roman" w:hAnsi="Times New Roman" w:eastAsia="黑体"/>
          <w:color w:val="000000"/>
          <w:sz w:val="44"/>
          <w:szCs w:val="36"/>
        </w:rPr>
      </w:pPr>
      <w:r>
        <w:rPr>
          <w:rFonts w:hint="eastAsia" w:ascii="Times New Roman" w:hAnsi="Times New Roman" w:eastAsia="黑体"/>
          <w:color w:val="000000"/>
          <w:sz w:val="44"/>
          <w:szCs w:val="44"/>
        </w:rPr>
        <w:t>安阳中盈化肥有限公司</w:t>
      </w:r>
    </w:p>
    <w:p>
      <w:pPr>
        <w:spacing w:line="300" w:lineRule="auto"/>
        <w:jc w:val="center"/>
        <w:rPr>
          <w:rFonts w:ascii="Times New Roman" w:hAnsi="Times New Roman" w:eastAsia="黑体"/>
          <w:color w:val="000000"/>
          <w:sz w:val="44"/>
          <w:szCs w:val="36"/>
        </w:rPr>
      </w:pPr>
      <w:r>
        <w:rPr>
          <w:rFonts w:hint="eastAsia" w:ascii="Times New Roman" w:hAnsi="Times New Roman" w:eastAsia="黑体"/>
          <w:color w:val="000000"/>
          <w:sz w:val="44"/>
          <w:szCs w:val="36"/>
        </w:rPr>
        <w:t>尿素产品碳足迹盘查报告</w:t>
      </w:r>
    </w:p>
    <w:p>
      <w:pPr>
        <w:spacing w:before="156" w:beforeLines="50"/>
        <w:jc w:val="center"/>
        <w:rPr>
          <w:rFonts w:ascii="Times New Roman" w:hAnsi="Times New Roman" w:eastAsia="黑体"/>
          <w:b/>
          <w:color w:val="000000"/>
          <w:sz w:val="36"/>
          <w:szCs w:val="36"/>
        </w:rPr>
      </w:pPr>
    </w:p>
    <w:p>
      <w:pPr>
        <w:spacing w:before="156" w:beforeLines="50"/>
        <w:jc w:val="center"/>
        <w:rPr>
          <w:rFonts w:ascii="Times New Roman" w:hAnsi="Times New Roman" w:eastAsia="黑体"/>
          <w:b/>
          <w:color w:val="000000"/>
          <w:sz w:val="36"/>
          <w:szCs w:val="36"/>
        </w:rPr>
      </w:pPr>
    </w:p>
    <w:p>
      <w:pPr>
        <w:spacing w:before="156" w:beforeLines="50"/>
        <w:jc w:val="left"/>
        <w:rPr>
          <w:rFonts w:ascii="Times New Roman" w:hAnsi="Times New Roman" w:eastAsia="黑体"/>
          <w:b/>
          <w:color w:val="000000"/>
          <w:sz w:val="36"/>
          <w:szCs w:val="36"/>
        </w:rPr>
      </w:pPr>
    </w:p>
    <w:p>
      <w:pPr>
        <w:spacing w:before="156" w:beforeLines="50"/>
        <w:jc w:val="left"/>
        <w:rPr>
          <w:rFonts w:ascii="Times New Roman" w:hAnsi="Times New Roman" w:eastAsia="黑体"/>
          <w:b/>
          <w:color w:val="000000"/>
          <w:sz w:val="36"/>
          <w:szCs w:val="36"/>
        </w:rPr>
      </w:pPr>
    </w:p>
    <w:p>
      <w:pPr>
        <w:spacing w:before="156" w:beforeLines="50"/>
        <w:jc w:val="left"/>
        <w:rPr>
          <w:rFonts w:ascii="Times New Roman" w:hAnsi="Times New Roman" w:eastAsia="黑体"/>
          <w:b/>
          <w:color w:val="000000"/>
          <w:sz w:val="36"/>
          <w:szCs w:val="36"/>
        </w:rPr>
      </w:pPr>
    </w:p>
    <w:p>
      <w:pPr>
        <w:spacing w:before="156" w:beforeLines="50"/>
        <w:jc w:val="left"/>
        <w:rPr>
          <w:rFonts w:ascii="Times New Roman" w:hAnsi="Times New Roman" w:eastAsia="黑体"/>
          <w:b/>
          <w:color w:val="000000"/>
          <w:sz w:val="36"/>
          <w:szCs w:val="36"/>
        </w:rPr>
      </w:pPr>
    </w:p>
    <w:tbl>
      <w:tblPr>
        <w:tblStyle w:val="25"/>
        <w:tblW w:w="8522" w:type="dxa"/>
        <w:tblInd w:w="0" w:type="dxa"/>
        <w:tblLayout w:type="fixed"/>
        <w:tblCellMar>
          <w:top w:w="0" w:type="dxa"/>
          <w:left w:w="108" w:type="dxa"/>
          <w:bottom w:w="0" w:type="dxa"/>
          <w:right w:w="108" w:type="dxa"/>
        </w:tblCellMar>
      </w:tblPr>
      <w:tblGrid>
        <w:gridCol w:w="3828"/>
        <w:gridCol w:w="4694"/>
      </w:tblGrid>
      <w:tr>
        <w:tblPrEx>
          <w:tblCellMar>
            <w:top w:w="0" w:type="dxa"/>
            <w:left w:w="108" w:type="dxa"/>
            <w:bottom w:w="0" w:type="dxa"/>
            <w:right w:w="108" w:type="dxa"/>
          </w:tblCellMar>
        </w:tblPrEx>
        <w:trPr>
          <w:trHeight w:val="607" w:hRule="atLeast"/>
        </w:trPr>
        <w:tc>
          <w:tcPr>
            <w:tcW w:w="8522" w:type="dxa"/>
            <w:gridSpan w:val="2"/>
          </w:tcPr>
          <w:p>
            <w:pPr>
              <w:rPr>
                <w:rFonts w:eastAsia="黑体"/>
                <w:sz w:val="32"/>
                <w:szCs w:val="32"/>
              </w:rPr>
            </w:pPr>
            <w:r>
              <w:rPr>
                <w:rFonts w:eastAsia="黑体"/>
                <w:sz w:val="32"/>
                <w:szCs w:val="32"/>
              </w:rPr>
              <w:t>报告主体（盖章）：</w:t>
            </w:r>
            <w:r>
              <w:rPr>
                <w:rFonts w:hint="eastAsia" w:eastAsia="黑体"/>
                <w:sz w:val="32"/>
                <w:szCs w:val="32"/>
              </w:rPr>
              <w:t>安阳中盈化肥有限公司</w:t>
            </w:r>
          </w:p>
        </w:tc>
      </w:tr>
      <w:tr>
        <w:tblPrEx>
          <w:tblCellMar>
            <w:top w:w="0" w:type="dxa"/>
            <w:left w:w="108" w:type="dxa"/>
            <w:bottom w:w="0" w:type="dxa"/>
            <w:right w:w="108" w:type="dxa"/>
          </w:tblCellMar>
        </w:tblPrEx>
        <w:tc>
          <w:tcPr>
            <w:tcW w:w="3828" w:type="dxa"/>
          </w:tcPr>
          <w:p>
            <w:pPr>
              <w:rPr>
                <w:rFonts w:eastAsia="黑体"/>
                <w:sz w:val="32"/>
                <w:szCs w:val="32"/>
              </w:rPr>
            </w:pPr>
            <w:r>
              <w:rPr>
                <w:rFonts w:eastAsia="黑体"/>
                <w:sz w:val="32"/>
                <w:szCs w:val="32"/>
              </w:rPr>
              <w:t>报告年度：</w:t>
            </w:r>
            <w:r>
              <w:rPr>
                <w:rFonts w:hint="eastAsia" w:eastAsia="黑体"/>
                <w:sz w:val="32"/>
                <w:szCs w:val="32"/>
              </w:rPr>
              <w:t>201</w:t>
            </w:r>
            <w:r>
              <w:rPr>
                <w:rFonts w:eastAsia="黑体"/>
                <w:sz w:val="32"/>
                <w:szCs w:val="32"/>
              </w:rPr>
              <w:t>9</w:t>
            </w:r>
            <w:r>
              <w:rPr>
                <w:rFonts w:hint="eastAsia" w:eastAsia="黑体"/>
                <w:sz w:val="32"/>
                <w:szCs w:val="32"/>
              </w:rPr>
              <w:t>年</w:t>
            </w:r>
          </w:p>
        </w:tc>
        <w:tc>
          <w:tcPr>
            <w:tcW w:w="4694" w:type="dxa"/>
          </w:tcPr>
          <w:p>
            <w:pPr>
              <w:rPr>
                <w:rFonts w:eastAsia="黑体"/>
                <w:sz w:val="32"/>
                <w:szCs w:val="32"/>
              </w:rPr>
            </w:pPr>
          </w:p>
        </w:tc>
      </w:tr>
      <w:tr>
        <w:tblPrEx>
          <w:tblCellMar>
            <w:top w:w="0" w:type="dxa"/>
            <w:left w:w="108" w:type="dxa"/>
            <w:bottom w:w="0" w:type="dxa"/>
            <w:right w:w="108" w:type="dxa"/>
          </w:tblCellMar>
        </w:tblPrEx>
        <w:tc>
          <w:tcPr>
            <w:tcW w:w="8522" w:type="dxa"/>
            <w:gridSpan w:val="2"/>
          </w:tcPr>
          <w:p>
            <w:pPr>
              <w:rPr>
                <w:rFonts w:eastAsia="黑体"/>
                <w:sz w:val="32"/>
                <w:szCs w:val="32"/>
              </w:rPr>
            </w:pPr>
            <w:r>
              <w:rPr>
                <w:rFonts w:eastAsia="黑体"/>
                <w:sz w:val="32"/>
                <w:szCs w:val="32"/>
              </w:rPr>
              <w:t>编制日期：</w:t>
            </w:r>
            <w:r>
              <w:rPr>
                <w:rFonts w:hint="eastAsia" w:eastAsia="黑体"/>
                <w:sz w:val="32"/>
                <w:szCs w:val="32"/>
              </w:rPr>
              <w:t>20</w:t>
            </w:r>
            <w:r>
              <w:rPr>
                <w:rFonts w:eastAsia="黑体"/>
                <w:sz w:val="32"/>
                <w:szCs w:val="32"/>
              </w:rPr>
              <w:t>20</w:t>
            </w:r>
            <w:r>
              <w:rPr>
                <w:rFonts w:hint="eastAsia" w:eastAsia="黑体"/>
                <w:sz w:val="32"/>
                <w:szCs w:val="32"/>
              </w:rPr>
              <w:t>年</w:t>
            </w:r>
            <w:r>
              <w:rPr>
                <w:rFonts w:eastAsia="黑体"/>
                <w:sz w:val="32"/>
                <w:szCs w:val="32"/>
              </w:rPr>
              <w:t>03</w:t>
            </w:r>
            <w:r>
              <w:rPr>
                <w:rFonts w:hint="eastAsia" w:eastAsia="黑体"/>
                <w:sz w:val="32"/>
                <w:szCs w:val="32"/>
              </w:rPr>
              <w:t>月</w:t>
            </w:r>
            <w:r>
              <w:rPr>
                <w:rFonts w:eastAsia="黑体"/>
                <w:sz w:val="32"/>
                <w:szCs w:val="32"/>
              </w:rPr>
              <w:t>30</w:t>
            </w:r>
            <w:r>
              <w:rPr>
                <w:rFonts w:hint="eastAsia" w:eastAsia="黑体"/>
                <w:sz w:val="32"/>
                <w:szCs w:val="32"/>
              </w:rPr>
              <w:t>日</w:t>
            </w:r>
          </w:p>
        </w:tc>
      </w:tr>
    </w:tbl>
    <w:p>
      <w:pPr>
        <w:rPr>
          <w:rFonts w:ascii="Times New Roman" w:hAnsi="Times New Roman" w:eastAsia="仿宋_GB2312"/>
        </w:rPr>
        <w:sectPr>
          <w:headerReference r:id="rId3" w:type="first"/>
          <w:footerReference r:id="rId4" w:type="first"/>
          <w:pgSz w:w="11906" w:h="16838"/>
          <w:pgMar w:top="1440" w:right="1800" w:bottom="1440" w:left="1800" w:header="851" w:footer="992" w:gutter="0"/>
          <w:pgNumType w:start="1"/>
          <w:cols w:space="720" w:num="1"/>
          <w:docGrid w:type="lines" w:linePitch="312" w:charSpace="0"/>
        </w:sectPr>
      </w:pPr>
    </w:p>
    <w:tbl>
      <w:tblPr>
        <w:tblStyle w:val="25"/>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57" w:type="dxa"/>
          <w:left w:w="108" w:type="dxa"/>
          <w:bottom w:w="57" w:type="dxa"/>
          <w:right w:w="108" w:type="dxa"/>
        </w:tblCellMar>
      </w:tblPr>
      <w:tblGrid>
        <w:gridCol w:w="1705"/>
        <w:gridCol w:w="1928"/>
        <w:gridCol w:w="1881"/>
        <w:gridCol w:w="30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00" w:hRule="atLeast"/>
        </w:trPr>
        <w:tc>
          <w:tcPr>
            <w:tcW w:w="1705" w:type="dxa"/>
            <w:vAlign w:val="center"/>
          </w:tcPr>
          <w:p>
            <w:pPr>
              <w:jc w:val="left"/>
              <w:rPr>
                <w:rFonts w:ascii="Times New Roman" w:hAnsi="Times New Roman" w:eastAsia="仿宋_GB2312"/>
                <w:sz w:val="24"/>
                <w:szCs w:val="28"/>
              </w:rPr>
            </w:pPr>
            <w:r>
              <w:rPr>
                <w:rFonts w:hint="eastAsia" w:ascii="Times New Roman" w:hAnsi="Times New Roman" w:eastAsia="仿宋_GB2312"/>
                <w:sz w:val="24"/>
                <w:szCs w:val="28"/>
              </w:rPr>
              <w:t>报告名称</w:t>
            </w:r>
          </w:p>
        </w:tc>
        <w:tc>
          <w:tcPr>
            <w:tcW w:w="6817" w:type="dxa"/>
            <w:gridSpan w:val="3"/>
            <w:vAlign w:val="center"/>
          </w:tcPr>
          <w:p>
            <w:pPr>
              <w:rPr>
                <w:rFonts w:ascii="Times New Roman" w:hAnsi="Times New Roman" w:eastAsia="仿宋_GB2312"/>
                <w:color w:val="000000"/>
                <w:sz w:val="24"/>
                <w:szCs w:val="24"/>
              </w:rPr>
            </w:pPr>
            <w:r>
              <w:rPr>
                <w:rFonts w:hint="eastAsia" w:ascii="Times New Roman" w:hAnsi="Times New Roman" w:eastAsia="仿宋_GB2312"/>
                <w:color w:val="000000"/>
                <w:sz w:val="24"/>
                <w:szCs w:val="28"/>
              </w:rPr>
              <w:t>安阳中盈化肥有限公司尿素产品碳足迹盘查报告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400" w:hRule="atLeast"/>
        </w:trPr>
        <w:tc>
          <w:tcPr>
            <w:tcW w:w="1705" w:type="dxa"/>
            <w:vAlign w:val="center"/>
          </w:tcPr>
          <w:p>
            <w:pPr>
              <w:rPr>
                <w:rFonts w:ascii="Times New Roman" w:hAnsi="Times New Roman" w:eastAsia="仿宋_GB2312"/>
                <w:sz w:val="24"/>
                <w:szCs w:val="28"/>
              </w:rPr>
            </w:pPr>
            <w:r>
              <w:rPr>
                <w:rFonts w:hint="eastAsia" w:ascii="Times New Roman" w:hAnsi="Times New Roman" w:eastAsia="仿宋_GB2312"/>
                <w:sz w:val="24"/>
                <w:szCs w:val="28"/>
              </w:rPr>
              <w:t>企业名称</w:t>
            </w:r>
          </w:p>
        </w:tc>
        <w:tc>
          <w:tcPr>
            <w:tcW w:w="1928" w:type="dxa"/>
            <w:vAlign w:val="center"/>
          </w:tcPr>
          <w:p>
            <w:pPr>
              <w:rPr>
                <w:rFonts w:ascii="Times New Roman" w:hAnsi="Times New Roman" w:eastAsia="仿宋_GB2312"/>
                <w:szCs w:val="21"/>
              </w:rPr>
            </w:pPr>
            <w:r>
              <w:rPr>
                <w:rFonts w:hint="eastAsia" w:ascii="Times New Roman" w:hAnsi="Times New Roman" w:eastAsia="仿宋_GB2312"/>
                <w:color w:val="000000"/>
                <w:sz w:val="24"/>
                <w:szCs w:val="28"/>
              </w:rPr>
              <w:t>安阳中盈化肥有限公司</w:t>
            </w:r>
          </w:p>
        </w:tc>
        <w:tc>
          <w:tcPr>
            <w:tcW w:w="1881" w:type="dxa"/>
            <w:vAlign w:val="center"/>
          </w:tcPr>
          <w:p>
            <w:pPr>
              <w:rPr>
                <w:rFonts w:ascii="Times New Roman" w:hAnsi="Times New Roman" w:eastAsia="仿宋_GB2312"/>
                <w:color w:val="000000"/>
                <w:sz w:val="24"/>
                <w:szCs w:val="28"/>
              </w:rPr>
            </w:pPr>
            <w:r>
              <w:rPr>
                <w:rFonts w:hint="eastAsia" w:ascii="Times New Roman" w:hAnsi="Times New Roman" w:eastAsia="仿宋_GB2312"/>
                <w:color w:val="000000"/>
                <w:sz w:val="24"/>
                <w:szCs w:val="28"/>
              </w:rPr>
              <w:t>地址</w:t>
            </w:r>
          </w:p>
        </w:tc>
        <w:tc>
          <w:tcPr>
            <w:tcW w:w="3008" w:type="dxa"/>
            <w:vAlign w:val="center"/>
          </w:tcPr>
          <w:p>
            <w:pPr>
              <w:rPr>
                <w:rFonts w:ascii="Times New Roman" w:hAnsi="Times New Roman" w:eastAsia="仿宋_GB2312"/>
                <w:color w:val="000000"/>
                <w:sz w:val="24"/>
                <w:szCs w:val="28"/>
              </w:rPr>
            </w:pPr>
            <w:r>
              <w:rPr>
                <w:rFonts w:hint="eastAsia" w:ascii="Times New Roman" w:hAnsi="Times New Roman" w:eastAsia="仿宋_GB2312"/>
                <w:color w:val="000000"/>
                <w:sz w:val="24"/>
                <w:szCs w:val="28"/>
              </w:rPr>
              <w:t>河南省安阳市滑县中盈路1号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712" w:hRule="atLeast"/>
        </w:trPr>
        <w:tc>
          <w:tcPr>
            <w:tcW w:w="1705" w:type="dxa"/>
            <w:vAlign w:val="center"/>
          </w:tcPr>
          <w:p>
            <w:pPr>
              <w:rPr>
                <w:rFonts w:ascii="Times New Roman" w:hAnsi="Times New Roman" w:eastAsia="仿宋_GB2312"/>
                <w:sz w:val="24"/>
                <w:szCs w:val="28"/>
              </w:rPr>
            </w:pPr>
            <w:r>
              <w:rPr>
                <w:rFonts w:hint="eastAsia" w:ascii="Times New Roman" w:hAnsi="Times New Roman" w:eastAsia="仿宋_GB2312"/>
                <w:sz w:val="24"/>
                <w:szCs w:val="28"/>
              </w:rPr>
              <w:t>联系人</w:t>
            </w:r>
          </w:p>
        </w:tc>
        <w:tc>
          <w:tcPr>
            <w:tcW w:w="1928" w:type="dxa"/>
            <w:vAlign w:val="center"/>
          </w:tcPr>
          <w:p>
            <w:pPr>
              <w:rPr>
                <w:rFonts w:ascii="Times New Roman" w:hAnsi="Times New Roman" w:eastAsia="仿宋_GB2312"/>
                <w:sz w:val="24"/>
                <w:szCs w:val="24"/>
              </w:rPr>
            </w:pPr>
            <w:r>
              <w:rPr>
                <w:rFonts w:hint="eastAsia" w:ascii="Times New Roman" w:hAnsi="Times New Roman" w:eastAsia="仿宋_GB2312"/>
                <w:sz w:val="24"/>
                <w:szCs w:val="28"/>
              </w:rPr>
              <w:t>王志凯</w:t>
            </w:r>
          </w:p>
        </w:tc>
        <w:tc>
          <w:tcPr>
            <w:tcW w:w="1881" w:type="dxa"/>
            <w:vAlign w:val="center"/>
          </w:tcPr>
          <w:p>
            <w:pPr>
              <w:rPr>
                <w:rFonts w:ascii="Times New Roman" w:hAnsi="Times New Roman" w:eastAsia="仿宋_GB2312"/>
                <w:color w:val="000000"/>
                <w:sz w:val="24"/>
                <w:szCs w:val="28"/>
              </w:rPr>
            </w:pPr>
            <w:r>
              <w:rPr>
                <w:rFonts w:hint="eastAsia" w:ascii="Times New Roman" w:hAnsi="Times New Roman" w:eastAsia="仿宋_GB2312"/>
                <w:color w:val="000000"/>
                <w:sz w:val="24"/>
                <w:szCs w:val="28"/>
              </w:rPr>
              <w:t>联系方式</w:t>
            </w:r>
          </w:p>
        </w:tc>
        <w:tc>
          <w:tcPr>
            <w:tcW w:w="3008" w:type="dxa"/>
            <w:vAlign w:val="center"/>
          </w:tcPr>
          <w:p>
            <w:pPr>
              <w:rPr>
                <w:rFonts w:hint="eastAsia" w:ascii="Times New Roman" w:hAnsi="Times New Roman" w:eastAsia="仿宋_GB2312"/>
                <w:sz w:val="24"/>
                <w:szCs w:val="28"/>
                <w:lang w:val="en-US" w:eastAsia="zh-CN"/>
              </w:rPr>
            </w:pPr>
            <w:r>
              <w:rPr>
                <w:rFonts w:hint="eastAsia" w:ascii="Times New Roman" w:hAnsi="Times New Roman" w:eastAsia="仿宋_GB2312"/>
                <w:sz w:val="24"/>
                <w:szCs w:val="28"/>
                <w:lang w:val="en-US" w:eastAsia="zh-CN"/>
              </w:rPr>
              <w:t>15515062865</w:t>
            </w:r>
          </w:p>
          <w:p>
            <w:pPr>
              <w:rPr>
                <w:rFonts w:ascii="Times New Roman" w:hAnsi="Times New Roman" w:eastAsia="仿宋_GB2312"/>
                <w:sz w:val="24"/>
                <w:szCs w:val="24"/>
              </w:rPr>
            </w:pPr>
            <w:r>
              <w:rPr>
                <w:rFonts w:hint="eastAsia" w:ascii="Times New Roman" w:hAnsi="Times New Roman" w:eastAsia="仿宋_GB2312"/>
                <w:sz w:val="24"/>
                <w:szCs w:val="28"/>
                <w:lang w:val="en-US" w:eastAsia="zh-CN"/>
              </w:rPr>
              <w:t>wangzhikai</w:t>
            </w:r>
            <w:r>
              <w:rPr>
                <w:rFonts w:hint="eastAsia" w:ascii="Times New Roman" w:hAnsi="Times New Roman" w:eastAsia="仿宋_GB2312"/>
                <w:sz w:val="24"/>
                <w:szCs w:val="28"/>
              </w:rPr>
              <w:t>@</w:t>
            </w:r>
            <w:r>
              <w:rPr>
                <w:rFonts w:hint="eastAsia" w:ascii="Times New Roman" w:hAnsi="Times New Roman" w:eastAsia="仿宋_GB2312"/>
                <w:sz w:val="24"/>
                <w:szCs w:val="28"/>
                <w:lang w:val="en-US" w:eastAsia="zh-CN"/>
              </w:rPr>
              <w:t>yingde</w:t>
            </w:r>
            <w:r>
              <w:rPr>
                <w:rFonts w:hint="eastAsia" w:ascii="Times New Roman" w:hAnsi="Times New Roman" w:eastAsia="仿宋_GB2312"/>
                <w:sz w:val="24"/>
                <w:szCs w:val="28"/>
              </w:rPr>
              <w:t>.com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c>
          <w:tcPr>
            <w:tcW w:w="3633" w:type="dxa"/>
            <w:gridSpan w:val="2"/>
            <w:vAlign w:val="center"/>
          </w:tcPr>
          <w:p>
            <w:pPr>
              <w:rPr>
                <w:rFonts w:ascii="Times New Roman" w:hAnsi="Times New Roman" w:eastAsia="仿宋_GB2312"/>
                <w:sz w:val="24"/>
                <w:szCs w:val="28"/>
              </w:rPr>
            </w:pPr>
            <w:r>
              <w:rPr>
                <w:rFonts w:ascii="Times New Roman" w:hAnsi="Times New Roman" w:eastAsia="仿宋_GB2312"/>
                <w:sz w:val="24"/>
                <w:szCs w:val="28"/>
              </w:rPr>
              <w:t>碳足迹核算周期</w:t>
            </w:r>
          </w:p>
        </w:tc>
        <w:tc>
          <w:tcPr>
            <w:tcW w:w="4889" w:type="dxa"/>
            <w:gridSpan w:val="2"/>
            <w:vAlign w:val="center"/>
          </w:tcPr>
          <w:p>
            <w:pPr>
              <w:rPr>
                <w:rFonts w:ascii="Times New Roman" w:hAnsi="Times New Roman" w:eastAsia="仿宋_GB2312"/>
                <w:b/>
                <w:bCs/>
                <w:sz w:val="24"/>
                <w:szCs w:val="28"/>
                <w:highlight w:val="yellow"/>
              </w:rPr>
            </w:pPr>
            <w:r>
              <w:rPr>
                <w:rFonts w:hint="eastAsia" w:ascii="Times New Roman" w:hAnsi="Times New Roman" w:eastAsia="仿宋_GB2312"/>
                <w:sz w:val="24"/>
                <w:szCs w:val="28"/>
              </w:rPr>
              <w:t>201</w:t>
            </w:r>
            <w:r>
              <w:rPr>
                <w:rFonts w:ascii="Times New Roman" w:hAnsi="Times New Roman" w:eastAsia="仿宋_GB2312"/>
                <w:sz w:val="24"/>
                <w:szCs w:val="28"/>
              </w:rPr>
              <w:t>9</w:t>
            </w:r>
            <w:r>
              <w:rPr>
                <w:rFonts w:hint="eastAsia" w:ascii="Times New Roman" w:hAnsi="Times New Roman" w:eastAsia="仿宋_GB2312"/>
                <w:sz w:val="24"/>
                <w:szCs w:val="28"/>
              </w:rPr>
              <w:t>年1月1日——201</w:t>
            </w:r>
            <w:r>
              <w:rPr>
                <w:rFonts w:ascii="Times New Roman" w:hAnsi="Times New Roman" w:eastAsia="仿宋_GB2312"/>
                <w:sz w:val="24"/>
                <w:szCs w:val="28"/>
              </w:rPr>
              <w:t>9</w:t>
            </w:r>
            <w:r>
              <w:rPr>
                <w:rFonts w:hint="eastAsia" w:ascii="Times New Roman" w:hAnsi="Times New Roman" w:eastAsia="仿宋_GB2312"/>
                <w:sz w:val="24"/>
                <w:szCs w:val="28"/>
              </w:rPr>
              <w:t>年12月31日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c>
          <w:tcPr>
            <w:tcW w:w="3633" w:type="dxa"/>
            <w:gridSpan w:val="2"/>
            <w:vAlign w:val="center"/>
          </w:tcPr>
          <w:p>
            <w:pPr>
              <w:rPr>
                <w:rFonts w:ascii="Times New Roman" w:hAnsi="Times New Roman" w:eastAsia="仿宋_GB2312"/>
                <w:sz w:val="24"/>
                <w:szCs w:val="28"/>
              </w:rPr>
            </w:pPr>
            <w:r>
              <w:rPr>
                <w:rFonts w:ascii="Times New Roman" w:hAnsi="Times New Roman" w:eastAsia="仿宋_GB2312"/>
                <w:sz w:val="24"/>
                <w:szCs w:val="28"/>
              </w:rPr>
              <w:t>盘查类型</w:t>
            </w:r>
          </w:p>
        </w:tc>
        <w:tc>
          <w:tcPr>
            <w:tcW w:w="4889" w:type="dxa"/>
            <w:gridSpan w:val="2"/>
            <w:vAlign w:val="center"/>
          </w:tcPr>
          <w:p>
            <w:pPr>
              <w:rPr>
                <w:rFonts w:ascii="Times New Roman" w:hAnsi="Times New Roman" w:eastAsia="仿宋_GB2312"/>
                <w:b/>
                <w:bCs/>
                <w:sz w:val="24"/>
                <w:szCs w:val="28"/>
                <w:highlight w:val="yellow"/>
              </w:rPr>
            </w:pPr>
            <w:r>
              <w:rPr>
                <w:rFonts w:ascii="Times New Roman" w:hAnsi="Times New Roman" w:eastAsia="仿宋_GB2312"/>
                <w:sz w:val="24"/>
                <w:szCs w:val="28"/>
              </w:rPr>
              <w:t>B to 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06" w:hRule="atLeast"/>
        </w:trPr>
        <w:tc>
          <w:tcPr>
            <w:tcW w:w="3633" w:type="dxa"/>
            <w:gridSpan w:val="2"/>
            <w:vAlign w:val="center"/>
          </w:tcPr>
          <w:p>
            <w:pPr>
              <w:rPr>
                <w:rFonts w:ascii="Times New Roman" w:hAnsi="Times New Roman" w:eastAsia="仿宋_GB2312"/>
                <w:sz w:val="24"/>
                <w:szCs w:val="28"/>
              </w:rPr>
            </w:pPr>
            <w:r>
              <w:rPr>
                <w:rFonts w:hint="eastAsia" w:ascii="Times New Roman" w:hAnsi="Times New Roman" w:eastAsia="仿宋_GB2312"/>
                <w:sz w:val="24"/>
                <w:szCs w:val="28"/>
              </w:rPr>
              <w:t>重点排放单位所属行业领域</w:t>
            </w:r>
          </w:p>
        </w:tc>
        <w:tc>
          <w:tcPr>
            <w:tcW w:w="4889" w:type="dxa"/>
            <w:gridSpan w:val="2"/>
            <w:vAlign w:val="center"/>
          </w:tcPr>
          <w:p>
            <w:pPr>
              <w:rPr>
                <w:rFonts w:hint="default" w:ascii="Times New Roman" w:hAnsi="Times New Roman" w:eastAsia="仿宋_GB2312"/>
                <w:bCs/>
                <w:sz w:val="24"/>
                <w:szCs w:val="28"/>
                <w:lang w:val="en-US" w:eastAsia="zh-CN"/>
              </w:rPr>
            </w:pPr>
            <w:bookmarkStart w:id="53" w:name="_GoBack"/>
            <w:r>
              <w:rPr>
                <w:rFonts w:hint="eastAsia" w:ascii="Times New Roman" w:hAnsi="Times New Roman" w:eastAsia="仿宋_GB2312"/>
                <w:bCs/>
                <w:sz w:val="24"/>
                <w:szCs w:val="28"/>
                <w:lang w:val="en-US" w:eastAsia="zh-CN"/>
              </w:rPr>
              <w:t>氮肥制造</w:t>
            </w:r>
            <w:bookmarkEnd w:id="53"/>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748" w:hRule="atLeast"/>
        </w:trPr>
        <w:tc>
          <w:tcPr>
            <w:tcW w:w="3633" w:type="dxa"/>
            <w:gridSpan w:val="2"/>
            <w:vAlign w:val="center"/>
          </w:tcPr>
          <w:p>
            <w:pPr>
              <w:rPr>
                <w:rFonts w:ascii="Times New Roman" w:hAnsi="Times New Roman" w:eastAsia="仿宋_GB2312"/>
                <w:sz w:val="24"/>
                <w:szCs w:val="28"/>
              </w:rPr>
            </w:pPr>
            <w:r>
              <w:rPr>
                <w:rFonts w:ascii="Times New Roman" w:hAnsi="Times New Roman" w:eastAsia="仿宋_GB2312"/>
                <w:sz w:val="24"/>
                <w:szCs w:val="28"/>
              </w:rPr>
              <w:t>采用标准</w:t>
            </w:r>
          </w:p>
        </w:tc>
        <w:tc>
          <w:tcPr>
            <w:tcW w:w="4889" w:type="dxa"/>
            <w:gridSpan w:val="2"/>
            <w:vAlign w:val="center"/>
          </w:tcPr>
          <w:p>
            <w:pPr>
              <w:jc w:val="left"/>
              <w:rPr>
                <w:rFonts w:ascii="Times New Roman" w:hAnsi="Times New Roman" w:eastAsia="仿宋_GB2312"/>
                <w:sz w:val="24"/>
                <w:szCs w:val="28"/>
              </w:rPr>
            </w:pPr>
            <w:r>
              <w:rPr>
                <w:rFonts w:hint="eastAsia" w:ascii="Times New Roman" w:hAnsi="Times New Roman" w:eastAsia="仿宋_GB2312"/>
                <w:sz w:val="24"/>
                <w:szCs w:val="28"/>
              </w:rPr>
              <w:t>PAS 2050：2011 《商品和服务在生命周期内的温室气体排放评价规范》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2496" w:hRule="atLeast"/>
        </w:trPr>
        <w:tc>
          <w:tcPr>
            <w:tcW w:w="8522" w:type="dxa"/>
            <w:gridSpan w:val="4"/>
            <w:vAlign w:val="center"/>
          </w:tcPr>
          <w:p>
            <w:pPr>
              <w:jc w:val="left"/>
              <w:rPr>
                <w:rFonts w:ascii="Times New Roman" w:hAnsi="Times New Roman" w:eastAsia="仿宋_GB2312"/>
                <w:sz w:val="24"/>
                <w:szCs w:val="28"/>
              </w:rPr>
            </w:pPr>
            <w:r>
              <w:rPr>
                <w:rFonts w:hint="eastAsia" w:ascii="Times New Roman" w:hAnsi="Times New Roman" w:eastAsia="仿宋_GB2312"/>
                <w:sz w:val="24"/>
                <w:szCs w:val="28"/>
              </w:rPr>
              <w:t>盘查结论</w:t>
            </w:r>
          </w:p>
          <w:p>
            <w:pPr>
              <w:jc w:val="left"/>
              <w:rPr>
                <w:rFonts w:ascii="Times New Roman" w:hAnsi="Times New Roman" w:eastAsia="仿宋_GB2312"/>
                <w:sz w:val="24"/>
                <w:szCs w:val="28"/>
              </w:rPr>
            </w:pPr>
            <w:r>
              <w:rPr>
                <w:rFonts w:hint="eastAsia" w:ascii="Times New Roman" w:hAnsi="Times New Roman" w:eastAsia="仿宋_GB2312"/>
                <w:sz w:val="24"/>
                <w:szCs w:val="28"/>
              </w:rPr>
              <w:t>（1）</w:t>
            </w:r>
            <w:r>
              <w:rPr>
                <w:rFonts w:hint="eastAsia" w:ascii="Times New Roman" w:hAnsi="Times New Roman" w:eastAsia="仿宋_GB2312"/>
                <w:color w:val="000000"/>
                <w:sz w:val="24"/>
                <w:szCs w:val="28"/>
              </w:rPr>
              <w:t>安阳中盈化肥有限公司尿素产品碳足迹</w:t>
            </w:r>
            <w:r>
              <w:rPr>
                <w:rFonts w:hint="eastAsia" w:ascii="Times New Roman" w:hAnsi="Times New Roman" w:eastAsia="仿宋_GB2312"/>
                <w:sz w:val="24"/>
                <w:szCs w:val="28"/>
              </w:rPr>
              <w:t>为</w:t>
            </w:r>
            <w:r>
              <w:rPr>
                <w:rFonts w:ascii="Times New Roman" w:hAnsi="Times New Roman" w:eastAsia="仿宋_GB2312"/>
                <w:sz w:val="24"/>
                <w:szCs w:val="28"/>
              </w:rPr>
              <w:t xml:space="preserve">1.8525 </w:t>
            </w:r>
            <w:r>
              <w:rPr>
                <w:rFonts w:hint="eastAsia" w:ascii="Times New Roman" w:hAnsi="Times New Roman" w:eastAsia="仿宋_GB2312"/>
                <w:sz w:val="24"/>
                <w:szCs w:val="28"/>
              </w:rPr>
              <w:t>tCO</w:t>
            </w:r>
            <w:r>
              <w:rPr>
                <w:rFonts w:hint="eastAsia" w:ascii="Times New Roman" w:hAnsi="Times New Roman" w:eastAsia="仿宋_GB2312"/>
                <w:sz w:val="24"/>
                <w:szCs w:val="28"/>
                <w:vertAlign w:val="subscript"/>
              </w:rPr>
              <w:t>2</w:t>
            </w:r>
            <w:r>
              <w:rPr>
                <w:rFonts w:hint="eastAsia" w:ascii="Times New Roman" w:hAnsi="Times New Roman" w:eastAsia="仿宋_GB2312"/>
                <w:sz w:val="24"/>
                <w:szCs w:val="28"/>
              </w:rPr>
              <w:t>/</w:t>
            </w:r>
            <w:r>
              <w:rPr>
                <w:rFonts w:ascii="Times New Roman" w:hAnsi="Times New Roman" w:eastAsia="仿宋_GB2312"/>
                <w:sz w:val="24"/>
                <w:szCs w:val="28"/>
              </w:rPr>
              <w:t>t</w:t>
            </w:r>
            <w:r>
              <w:rPr>
                <w:rFonts w:hint="eastAsia" w:ascii="Times New Roman" w:hAnsi="Times New Roman" w:eastAsia="仿宋_GB2312"/>
                <w:sz w:val="24"/>
                <w:szCs w:val="28"/>
              </w:rPr>
              <w:t>产品；</w:t>
            </w:r>
          </w:p>
          <w:p>
            <w:pPr>
              <w:jc w:val="left"/>
              <w:rPr>
                <w:rFonts w:ascii="Times New Roman" w:hAnsi="Times New Roman" w:eastAsia="仿宋_GB2312"/>
                <w:sz w:val="24"/>
                <w:szCs w:val="28"/>
              </w:rPr>
            </w:pPr>
            <w:r>
              <w:rPr>
                <w:rFonts w:hint="eastAsia" w:ascii="Times New Roman" w:hAnsi="Times New Roman" w:eastAsia="仿宋_GB2312"/>
                <w:sz w:val="24"/>
                <w:szCs w:val="28"/>
              </w:rPr>
              <w:t>（2）由于无法获得原材料排放因子，并且原材料众多无法统计运输过程产生排放量，故本次碳足迹盘查为产品生产阶段产生的排放量。即</w:t>
            </w:r>
            <w:r>
              <w:rPr>
                <w:rFonts w:hint="eastAsia" w:ascii="Times New Roman" w:hAnsi="Times New Roman" w:eastAsia="仿宋_GB2312"/>
                <w:color w:val="000000"/>
                <w:sz w:val="24"/>
                <w:szCs w:val="28"/>
              </w:rPr>
              <w:t>尿素</w:t>
            </w:r>
            <w:r>
              <w:rPr>
                <w:rFonts w:hint="eastAsia" w:ascii="Times New Roman" w:hAnsi="Times New Roman" w:eastAsia="仿宋_GB2312"/>
                <w:sz w:val="24"/>
                <w:szCs w:val="28"/>
              </w:rPr>
              <w:t>的碳足迹源生产过程阶段产生的排放量。</w:t>
            </w:r>
          </w:p>
        </w:tc>
      </w:tr>
    </w:tbl>
    <w:p>
      <w:pPr>
        <w:pStyle w:val="31"/>
        <w:jc w:val="center"/>
        <w:rPr>
          <w:rFonts w:ascii="Times New Roman" w:hAnsi="Times New Roman"/>
        </w:rPr>
      </w:pPr>
      <w:bookmarkStart w:id="0" w:name="_Toc363630854"/>
      <w:bookmarkStart w:id="1" w:name="_Toc363643715"/>
      <w:r>
        <w:rPr>
          <w:rFonts w:ascii="Times New Roman" w:hAnsi="Times New Roman" w:eastAsia="仿宋_GB2312"/>
          <w:sz w:val="32"/>
          <w:lang w:val="zh-CN"/>
        </w:rPr>
        <w:br w:type="page"/>
      </w:r>
      <w:r>
        <w:rPr>
          <w:rFonts w:hint="eastAsia" w:ascii="Times New Roman" w:hAnsi="Times New Roman" w:eastAsia="黑体" w:cs="黑体"/>
          <w:color w:val="auto"/>
          <w:sz w:val="32"/>
          <w:lang w:val="zh-CN"/>
        </w:rPr>
        <w:t>目录</w:t>
      </w:r>
    </w:p>
    <w:p>
      <w:pPr>
        <w:pStyle w:val="17"/>
        <w:spacing w:before="156"/>
        <w:rPr>
          <w:rFonts w:asciiTheme="minorHAnsi" w:hAnsiTheme="minorHAnsi" w:eastAsiaTheme="minorEastAsia" w:cstheme="minorBidi"/>
          <w:b w:val="0"/>
          <w:bCs w:val="0"/>
          <w:caps w:val="0"/>
          <w:sz w:val="21"/>
          <w:szCs w:val="22"/>
        </w:rPr>
      </w:pPr>
      <w:r>
        <w:rPr>
          <w:rFonts w:ascii="Times New Roman" w:hAnsi="Times New Roman"/>
          <w:caps w:val="0"/>
        </w:rPr>
        <w:fldChar w:fldCharType="begin"/>
      </w:r>
      <w:r>
        <w:rPr>
          <w:rFonts w:ascii="Times New Roman" w:hAnsi="Times New Roman"/>
          <w:caps w:val="0"/>
        </w:rPr>
        <w:instrText xml:space="preserve">TOC \o "1-3" \h \u </w:instrText>
      </w:r>
      <w:r>
        <w:rPr>
          <w:rFonts w:ascii="Times New Roman" w:hAnsi="Times New Roman"/>
          <w:caps w:val="0"/>
        </w:rPr>
        <w:fldChar w:fldCharType="separate"/>
      </w:r>
      <w:r>
        <w:fldChar w:fldCharType="begin"/>
      </w:r>
      <w:r>
        <w:instrText xml:space="preserve"> HYPERLINK \l "_Toc36765016" </w:instrText>
      </w:r>
      <w:r>
        <w:fldChar w:fldCharType="separate"/>
      </w:r>
      <w:r>
        <w:rPr>
          <w:rStyle w:val="28"/>
          <w:rFonts w:ascii="Times New Roman" w:hAnsi="Times New Roman" w:eastAsia="黑体" w:cs="黑体"/>
        </w:rPr>
        <w:t xml:space="preserve">1  </w:t>
      </w:r>
      <w:r>
        <w:rPr>
          <w:rStyle w:val="28"/>
          <w:rFonts w:hint="eastAsia" w:ascii="Times New Roman" w:hAnsi="Times New Roman" w:eastAsia="黑体" w:cs="黑体"/>
        </w:rPr>
        <w:t>概述</w:t>
      </w:r>
      <w:r>
        <w:tab/>
      </w:r>
      <w:r>
        <w:fldChar w:fldCharType="begin"/>
      </w:r>
      <w:r>
        <w:instrText xml:space="preserve"> PAGEREF _Toc36765016 \h </w:instrText>
      </w:r>
      <w:r>
        <w:fldChar w:fldCharType="separate"/>
      </w:r>
      <w:r>
        <w:t>1</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"_Toc36765017" </w:instrText>
      </w:r>
      <w:r>
        <w:fldChar w:fldCharType="separate"/>
      </w:r>
      <w:r>
        <w:rPr>
          <w:rStyle w:val="28"/>
          <w:rFonts w:ascii="Times New Roman" w:hAnsi="Times New Roman" w:eastAsia="黑体" w:cs="黑体"/>
        </w:rPr>
        <w:t xml:space="preserve">1.1  </w:t>
      </w:r>
      <w:r>
        <w:rPr>
          <w:rStyle w:val="28"/>
          <w:rFonts w:hint="eastAsia" w:ascii="Times New Roman" w:hAnsi="Times New Roman" w:eastAsia="黑体" w:cs="黑体"/>
        </w:rPr>
        <w:t>碳足迹盘查目的</w:t>
      </w:r>
      <w:r>
        <w:tab/>
      </w:r>
      <w:r>
        <w:fldChar w:fldCharType="begin"/>
      </w:r>
      <w:r>
        <w:instrText xml:space="preserve"> PAGEREF _Toc36765017 \h </w:instrText>
      </w:r>
      <w:r>
        <w:fldChar w:fldCharType="separate"/>
      </w:r>
      <w:r>
        <w:t>1</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"_Toc36765018" </w:instrText>
      </w:r>
      <w:r>
        <w:fldChar w:fldCharType="separate"/>
      </w:r>
      <w:r>
        <w:rPr>
          <w:rStyle w:val="28"/>
          <w:rFonts w:ascii="Times New Roman" w:hAnsi="Times New Roman" w:eastAsia="黑体" w:cs="黑体"/>
        </w:rPr>
        <w:t xml:space="preserve">1.2  </w:t>
      </w:r>
      <w:r>
        <w:rPr>
          <w:rStyle w:val="28"/>
          <w:rFonts w:hint="eastAsia" w:ascii="Times New Roman" w:hAnsi="Times New Roman" w:eastAsia="黑体" w:cs="黑体"/>
        </w:rPr>
        <w:t>盘查范围</w:t>
      </w:r>
      <w:r>
        <w:tab/>
      </w:r>
      <w:r>
        <w:fldChar w:fldCharType="begin"/>
      </w:r>
      <w:r>
        <w:instrText xml:space="preserve"> PAGEREF _Toc36765018 \h </w:instrText>
      </w:r>
      <w:r>
        <w:fldChar w:fldCharType="separate"/>
      </w:r>
      <w:r>
        <w:t>1</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"_Toc36765019" </w:instrText>
      </w:r>
      <w:r>
        <w:fldChar w:fldCharType="separate"/>
      </w:r>
      <w:r>
        <w:rPr>
          <w:rStyle w:val="28"/>
          <w:rFonts w:ascii="Times New Roman" w:hAnsi="Times New Roman" w:eastAsia="黑体"/>
        </w:rPr>
        <w:t xml:space="preserve">1.2.1  </w:t>
      </w:r>
      <w:r>
        <w:rPr>
          <w:rStyle w:val="28"/>
          <w:rFonts w:hint="eastAsia" w:ascii="Times New Roman" w:hAnsi="Times New Roman" w:eastAsia="黑体"/>
        </w:rPr>
        <w:t>产品碳足迹范围描述</w:t>
      </w:r>
      <w:r>
        <w:tab/>
      </w:r>
      <w:r>
        <w:fldChar w:fldCharType="begin"/>
      </w:r>
      <w:r>
        <w:instrText xml:space="preserve"> PAGEREF _Toc36765019 \h </w:instrText>
      </w:r>
      <w:r>
        <w:fldChar w:fldCharType="separate"/>
      </w:r>
      <w:r>
        <w:t>1</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"_Toc36765020" </w:instrText>
      </w:r>
      <w:r>
        <w:fldChar w:fldCharType="separate"/>
      </w:r>
      <w:r>
        <w:rPr>
          <w:rStyle w:val="28"/>
          <w:rFonts w:ascii="Times New Roman" w:hAnsi="Times New Roman" w:eastAsia="黑体"/>
        </w:rPr>
        <w:t xml:space="preserve">1.2.2  </w:t>
      </w:r>
      <w:r>
        <w:rPr>
          <w:rStyle w:val="28"/>
          <w:rFonts w:hint="eastAsia" w:ascii="Times New Roman" w:hAnsi="Times New Roman" w:eastAsia="黑体"/>
        </w:rPr>
        <w:t>碳足迹盘查计算的时间范围</w:t>
      </w:r>
      <w:r>
        <w:tab/>
      </w:r>
      <w:r>
        <w:fldChar w:fldCharType="begin"/>
      </w:r>
      <w:r>
        <w:instrText xml:space="preserve"> PAGEREF _Toc36765020 \h </w:instrText>
      </w:r>
      <w:r>
        <w:fldChar w:fldCharType="separate"/>
      </w:r>
      <w:r>
        <w:t>1</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"_Toc36765021" </w:instrText>
      </w:r>
      <w:r>
        <w:fldChar w:fldCharType="separate"/>
      </w:r>
      <w:r>
        <w:rPr>
          <w:rStyle w:val="28"/>
          <w:rFonts w:ascii="Times New Roman" w:hAnsi="Times New Roman" w:eastAsia="黑体"/>
        </w:rPr>
        <w:t xml:space="preserve">1.2.3  </w:t>
      </w:r>
      <w:r>
        <w:rPr>
          <w:rStyle w:val="28"/>
          <w:rFonts w:hint="eastAsia" w:ascii="Times New Roman" w:hAnsi="Times New Roman" w:eastAsia="黑体"/>
        </w:rPr>
        <w:t>碳足迹盘查的系统边界</w:t>
      </w:r>
      <w:r>
        <w:tab/>
      </w:r>
      <w:r>
        <w:fldChar w:fldCharType="begin"/>
      </w:r>
      <w:r>
        <w:instrText xml:space="preserve"> PAGEREF _Toc36765021 \h </w:instrText>
      </w:r>
      <w:r>
        <w:fldChar w:fldCharType="separate"/>
      </w:r>
      <w:r>
        <w:t>1</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"_Toc36765022" </w:instrText>
      </w:r>
      <w:r>
        <w:fldChar w:fldCharType="separate"/>
      </w:r>
      <w:r>
        <w:rPr>
          <w:rStyle w:val="28"/>
          <w:rFonts w:ascii="Times New Roman" w:hAnsi="Times New Roman" w:eastAsia="黑体" w:cs="黑体"/>
        </w:rPr>
        <w:t xml:space="preserve">1.3  </w:t>
      </w:r>
      <w:r>
        <w:rPr>
          <w:rStyle w:val="28"/>
          <w:rFonts w:hint="eastAsia" w:ascii="Times New Roman" w:hAnsi="Times New Roman" w:eastAsia="黑体" w:cs="黑体"/>
        </w:rPr>
        <w:t>盘查准则</w:t>
      </w:r>
      <w:r>
        <w:tab/>
      </w:r>
      <w:r>
        <w:fldChar w:fldCharType="begin"/>
      </w:r>
      <w:r>
        <w:instrText xml:space="preserve"> PAGEREF _Toc36765022 \h </w:instrText>
      </w:r>
      <w:r>
        <w:fldChar w:fldCharType="separate"/>
      </w:r>
      <w:r>
        <w:t>2</w:t>
      </w:r>
      <w:r>
        <w:fldChar w:fldCharType="end"/>
      </w:r>
      <w:r>
        <w:fldChar w:fldCharType="end"/>
      </w:r>
    </w:p>
    <w:p>
      <w:pPr>
        <w:pStyle w:val="17"/>
        <w:spacing w:before="156"/>
        <w:rPr>
          <w:rFonts w:asciiTheme="minorHAnsi" w:hAnsiTheme="minorHAnsi" w:eastAsiaTheme="minorEastAsia" w:cstheme="minorBidi"/>
          <w:b w:val="0"/>
          <w:bCs w:val="0"/>
          <w:caps w:val="0"/>
          <w:sz w:val="21"/>
          <w:szCs w:val="22"/>
        </w:rPr>
      </w:pPr>
      <w:r>
        <w:fldChar w:fldCharType="begin"/>
      </w:r>
      <w:r>
        <w:instrText xml:space="preserve"> HYPERLINK \l "_Toc36765023" </w:instrText>
      </w:r>
      <w:r>
        <w:fldChar w:fldCharType="separate"/>
      </w:r>
      <w:r>
        <w:rPr>
          <w:rStyle w:val="28"/>
          <w:rFonts w:ascii="Times New Roman" w:hAnsi="Times New Roman" w:eastAsia="黑体" w:cs="黑体"/>
        </w:rPr>
        <w:t xml:space="preserve">2  </w:t>
      </w:r>
      <w:r>
        <w:rPr>
          <w:rStyle w:val="28"/>
          <w:rFonts w:hint="eastAsia" w:ascii="Times New Roman" w:hAnsi="Times New Roman" w:eastAsia="黑体" w:cs="黑体"/>
        </w:rPr>
        <w:t>盘查发现</w:t>
      </w:r>
      <w:r>
        <w:tab/>
      </w:r>
      <w:r>
        <w:fldChar w:fldCharType="begin"/>
      </w:r>
      <w:r>
        <w:instrText xml:space="preserve"> PAGEREF _Toc36765023 \h </w:instrText>
      </w:r>
      <w:r>
        <w:fldChar w:fldCharType="separate"/>
      </w:r>
      <w:r>
        <w:t>3</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"_Toc36765024" </w:instrText>
      </w:r>
      <w:r>
        <w:fldChar w:fldCharType="separate"/>
      </w:r>
      <w:r>
        <w:rPr>
          <w:rStyle w:val="28"/>
          <w:rFonts w:ascii="Times New Roman" w:hAnsi="Times New Roman" w:eastAsia="黑体" w:cs="黑体"/>
        </w:rPr>
        <w:t xml:space="preserve">2.1  </w:t>
      </w:r>
      <w:r>
        <w:rPr>
          <w:rStyle w:val="28"/>
          <w:rFonts w:hint="eastAsia" w:ascii="Times New Roman" w:hAnsi="Times New Roman" w:eastAsia="黑体" w:cs="黑体"/>
        </w:rPr>
        <w:t>企业的基本信息</w:t>
      </w:r>
      <w:r>
        <w:tab/>
      </w:r>
      <w:r>
        <w:fldChar w:fldCharType="begin"/>
      </w:r>
      <w:r>
        <w:instrText xml:space="preserve"> PAGEREF _Toc36765024 \h </w:instrText>
      </w:r>
      <w:r>
        <w:fldChar w:fldCharType="separate"/>
      </w:r>
      <w:r>
        <w:t>3</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"_Toc36765025" </w:instrText>
      </w:r>
      <w:r>
        <w:fldChar w:fldCharType="separate"/>
      </w:r>
      <w:r>
        <w:rPr>
          <w:rStyle w:val="28"/>
          <w:rFonts w:ascii="Times New Roman" w:hAnsi="Times New Roman" w:eastAsia="黑体"/>
        </w:rPr>
        <w:t xml:space="preserve">2.1.1  </w:t>
      </w:r>
      <w:r>
        <w:rPr>
          <w:rStyle w:val="28"/>
          <w:rFonts w:hint="eastAsia" w:ascii="Times New Roman" w:hAnsi="Times New Roman" w:eastAsia="黑体"/>
        </w:rPr>
        <w:t>企业简介</w:t>
      </w:r>
      <w:r>
        <w:tab/>
      </w:r>
      <w:r>
        <w:fldChar w:fldCharType="begin"/>
      </w:r>
      <w:r>
        <w:instrText xml:space="preserve"> PAGEREF _Toc36765025 \h </w:instrText>
      </w:r>
      <w:r>
        <w:fldChar w:fldCharType="separate"/>
      </w:r>
      <w:r>
        <w:t>3</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"_Toc36765026" </w:instrText>
      </w:r>
      <w:r>
        <w:fldChar w:fldCharType="separate"/>
      </w:r>
      <w:r>
        <w:rPr>
          <w:rStyle w:val="28"/>
          <w:rFonts w:ascii="Times New Roman" w:hAnsi="Times New Roman" w:eastAsia="黑体" w:cs="黑体"/>
        </w:rPr>
        <w:t xml:space="preserve">2.2  </w:t>
      </w:r>
      <w:r>
        <w:rPr>
          <w:rStyle w:val="28"/>
          <w:rFonts w:hint="eastAsia" w:ascii="Times New Roman" w:hAnsi="Times New Roman" w:eastAsia="黑体" w:cs="黑体"/>
        </w:rPr>
        <w:t>碳足迹盘查数据类别与来源</w:t>
      </w:r>
      <w:r>
        <w:tab/>
      </w:r>
      <w:r>
        <w:fldChar w:fldCharType="begin"/>
      </w:r>
      <w:r>
        <w:instrText xml:space="preserve"> PAGEREF _Toc36765026 \h </w:instrText>
      </w:r>
      <w:r>
        <w:fldChar w:fldCharType="separate"/>
      </w:r>
      <w:r>
        <w:t>4</w:t>
      </w:r>
      <w:r>
        <w:fldChar w:fldCharType="end"/>
      </w:r>
      <w:r>
        <w:fldChar w:fldCharType="end"/>
      </w:r>
    </w:p>
    <w:p>
      <w:pPr>
        <w:pStyle w:val="21"/>
        <w:ind w:firstLine="201"/>
        <w:rPr>
          <w:rFonts w:asciiTheme="minorHAnsi" w:hAnsiTheme="minorHAnsi" w:eastAsiaTheme="minorEastAsia" w:cstheme="minorBidi"/>
          <w:b w:val="0"/>
          <w:bCs w:val="0"/>
          <w:sz w:val="21"/>
          <w:szCs w:val="22"/>
        </w:rPr>
      </w:pPr>
      <w:r>
        <w:fldChar w:fldCharType="begin"/>
      </w:r>
      <w:r>
        <w:instrText xml:space="preserve"> HYPERLINK \l "_Toc36765027" </w:instrText>
      </w:r>
      <w:r>
        <w:fldChar w:fldCharType="separate"/>
      </w:r>
      <w:r>
        <w:rPr>
          <w:rStyle w:val="28"/>
          <w:rFonts w:ascii="Times New Roman" w:hAnsi="Times New Roman" w:eastAsia="黑体" w:cs="黑体"/>
        </w:rPr>
        <w:t xml:space="preserve">2.3 </w:t>
      </w:r>
      <w:r>
        <w:rPr>
          <w:rStyle w:val="28"/>
          <w:rFonts w:hint="eastAsia" w:ascii="Times New Roman" w:hAnsi="Times New Roman" w:eastAsia="黑体" w:cs="黑体"/>
        </w:rPr>
        <w:t>碳足迹计算过程及结果</w:t>
      </w:r>
      <w:r>
        <w:tab/>
      </w:r>
      <w:r>
        <w:fldChar w:fldCharType="begin"/>
      </w:r>
      <w:r>
        <w:instrText xml:space="preserve"> PAGEREF _Toc36765027 \h </w:instrText>
      </w:r>
      <w:r>
        <w:fldChar w:fldCharType="separate"/>
      </w:r>
      <w:r>
        <w:t>4</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"_Toc36765028" </w:instrText>
      </w:r>
      <w:r>
        <w:fldChar w:fldCharType="separate"/>
      </w:r>
      <w:r>
        <w:rPr>
          <w:rStyle w:val="28"/>
          <w:rFonts w:ascii="Times New Roman" w:hAnsi="Times New Roman" w:eastAsia="黑体"/>
        </w:rPr>
        <w:t xml:space="preserve">2.3.1 </w:t>
      </w:r>
      <w:r>
        <w:rPr>
          <w:rStyle w:val="28"/>
          <w:rFonts w:hint="eastAsia" w:ascii="Times New Roman" w:hAnsi="Times New Roman"/>
        </w:rPr>
        <w:t>计算公式</w:t>
      </w:r>
      <w:r>
        <w:tab/>
      </w:r>
      <w:r>
        <w:fldChar w:fldCharType="begin"/>
      </w:r>
      <w:r>
        <w:instrText xml:space="preserve"> PAGEREF _Toc36765028 \h </w:instrText>
      </w:r>
      <w:r>
        <w:fldChar w:fldCharType="separate"/>
      </w:r>
      <w:r>
        <w:t>4</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"_Toc36765029" </w:instrText>
      </w:r>
      <w:r>
        <w:fldChar w:fldCharType="separate"/>
      </w:r>
      <w:r>
        <w:rPr>
          <w:rStyle w:val="28"/>
          <w:rFonts w:ascii="Times New Roman" w:hAnsi="Times New Roman" w:eastAsia="黑体"/>
        </w:rPr>
        <w:t>2.3.1</w:t>
      </w:r>
      <w:r>
        <w:rPr>
          <w:rStyle w:val="28"/>
          <w:rFonts w:ascii="Times New Roman" w:hAnsi="Times New Roman"/>
        </w:rPr>
        <w:t xml:space="preserve"> </w:t>
      </w:r>
      <w:r>
        <w:rPr>
          <w:rStyle w:val="28"/>
          <w:rFonts w:hint="eastAsia" w:ascii="Times New Roman" w:hAnsi="Times New Roman"/>
        </w:rPr>
        <w:t>计算过程与结果</w:t>
      </w:r>
      <w:r>
        <w:tab/>
      </w:r>
      <w:r>
        <w:fldChar w:fldCharType="begin"/>
      </w:r>
      <w:r>
        <w:instrText xml:space="preserve"> PAGEREF _Toc36765029 \h </w:instrText>
      </w:r>
      <w:r>
        <w:fldChar w:fldCharType="separate"/>
      </w:r>
      <w:r>
        <w:t>5</w:t>
      </w:r>
      <w:r>
        <w:fldChar w:fldCharType="end"/>
      </w:r>
      <w:r>
        <w:fldChar w:fldCharType="end"/>
      </w:r>
    </w:p>
    <w:p>
      <w:pPr>
        <w:pStyle w:val="17"/>
        <w:spacing w:before="156"/>
        <w:rPr>
          <w:rFonts w:asciiTheme="minorHAnsi" w:hAnsiTheme="minorHAnsi" w:eastAsiaTheme="minorEastAsia" w:cstheme="minorBidi"/>
          <w:b w:val="0"/>
          <w:bCs w:val="0"/>
          <w:caps w:val="0"/>
          <w:sz w:val="21"/>
          <w:szCs w:val="22"/>
        </w:rPr>
      </w:pPr>
      <w:r>
        <w:fldChar w:fldCharType="begin"/>
      </w:r>
      <w:r>
        <w:instrText xml:space="preserve"> HYPERLINK \l "_Toc36765030" </w:instrText>
      </w:r>
      <w:r>
        <w:fldChar w:fldCharType="separate"/>
      </w:r>
      <w:r>
        <w:rPr>
          <w:rStyle w:val="28"/>
          <w:rFonts w:ascii="Times New Roman" w:hAnsi="Times New Roman" w:eastAsia="黑体" w:cs="黑体"/>
        </w:rPr>
        <w:t xml:space="preserve">3 </w:t>
      </w:r>
      <w:r>
        <w:rPr>
          <w:rStyle w:val="28"/>
          <w:rFonts w:hint="eastAsia" w:ascii="Times New Roman" w:hAnsi="Times New Roman" w:eastAsia="黑体" w:cs="黑体"/>
        </w:rPr>
        <w:t>盘查结论</w:t>
      </w:r>
      <w:r>
        <w:tab/>
      </w:r>
      <w:r>
        <w:fldChar w:fldCharType="begin"/>
      </w:r>
      <w:r>
        <w:instrText xml:space="preserve"> PAGEREF _Toc36765030 \h </w:instrText>
      </w:r>
      <w:r>
        <w:fldChar w:fldCharType="separate"/>
      </w:r>
      <w:r>
        <w:t>8</w:t>
      </w:r>
      <w:r>
        <w:fldChar w:fldCharType="end"/>
      </w:r>
      <w:r>
        <w:fldChar w:fldCharType="end"/>
      </w:r>
    </w:p>
    <w:p>
      <w:pPr>
        <w:rPr>
          <w:rFonts w:ascii="Times New Roman" w:hAnsi="Times New Roman"/>
        </w:rPr>
      </w:pPr>
      <w:r>
        <w:rPr>
          <w:rFonts w:ascii="Times New Roman" w:hAnsi="Times New Roman"/>
        </w:rPr>
        <w:fldChar w:fldCharType="end"/>
      </w:r>
    </w:p>
    <w:p>
      <w:pPr>
        <w:spacing w:line="276" w:lineRule="auto"/>
        <w:rPr>
          <w:rFonts w:ascii="Times New Roman" w:hAnsi="Times New Roman" w:eastAsia="仿宋_GB2312"/>
          <w:b/>
          <w:sz w:val="28"/>
          <w:szCs w:val="24"/>
        </w:rPr>
        <w:sectPr>
          <w:pgSz w:w="11906" w:h="16838"/>
          <w:pgMar w:top="1440" w:right="1800" w:bottom="1440" w:left="1800" w:header="851" w:footer="992" w:gutter="0"/>
          <w:pgNumType w:start="1"/>
          <w:cols w:space="720" w:num="1"/>
          <w:docGrid w:type="lines" w:linePitch="312" w:charSpace="0"/>
        </w:sectPr>
      </w:pPr>
    </w:p>
    <w:p>
      <w:pPr>
        <w:pStyle w:val="2"/>
        <w:spacing w:before="480" w:after="360" w:line="240" w:lineRule="auto"/>
        <w:jc w:val="left"/>
        <w:rPr>
          <w:rFonts w:ascii="Times New Roman" w:hAnsi="Times New Roman" w:eastAsia="黑体" w:cs="黑体"/>
          <w:sz w:val="32"/>
          <w:szCs w:val="32"/>
        </w:rPr>
      </w:pPr>
      <w:bookmarkStart w:id="2" w:name="_Toc7891"/>
      <w:bookmarkStart w:id="3" w:name="_Toc5727"/>
      <w:bookmarkStart w:id="4" w:name="_Toc382387081"/>
      <w:bookmarkStart w:id="5" w:name="_Toc36765016"/>
      <w:r>
        <w:rPr>
          <w:rFonts w:hint="eastAsia" w:ascii="Times New Roman" w:hAnsi="Times New Roman" w:eastAsia="黑体" w:cs="黑体"/>
          <w:sz w:val="32"/>
          <w:szCs w:val="32"/>
        </w:rPr>
        <w:t>1  概述</w:t>
      </w:r>
      <w:bookmarkEnd w:id="0"/>
      <w:bookmarkEnd w:id="1"/>
      <w:bookmarkEnd w:id="2"/>
      <w:bookmarkEnd w:id="3"/>
      <w:bookmarkEnd w:id="4"/>
      <w:bookmarkEnd w:id="5"/>
    </w:p>
    <w:p>
      <w:pPr>
        <w:pStyle w:val="3"/>
        <w:spacing w:before="480" w:after="120" w:line="480" w:lineRule="exact"/>
        <w:rPr>
          <w:rFonts w:ascii="Times New Roman" w:hAnsi="Times New Roman" w:eastAsia="黑体" w:cs="黑体"/>
          <w:sz w:val="28"/>
          <w:szCs w:val="28"/>
        </w:rPr>
      </w:pPr>
      <w:bookmarkStart w:id="6" w:name="_Toc36765017"/>
      <w:bookmarkStart w:id="7" w:name="_Toc12458"/>
      <w:bookmarkStart w:id="8" w:name="_Toc382387082"/>
      <w:bookmarkStart w:id="9" w:name="_Toc363643716"/>
      <w:bookmarkStart w:id="10" w:name="_Toc27386"/>
      <w:r>
        <w:rPr>
          <w:rFonts w:hint="eastAsia" w:ascii="Times New Roman" w:hAnsi="Times New Roman" w:eastAsia="黑体" w:cs="黑体"/>
          <w:sz w:val="28"/>
          <w:szCs w:val="28"/>
        </w:rPr>
        <w:t>1.1  碳足迹盘查目的</w:t>
      </w:r>
      <w:bookmarkEnd w:id="6"/>
      <w:bookmarkEnd w:id="7"/>
      <w:bookmarkEnd w:id="8"/>
      <w:bookmarkEnd w:id="9"/>
      <w:bookmarkEnd w:id="10"/>
    </w:p>
    <w:p>
      <w:pPr>
        <w:spacing w:line="400" w:lineRule="exact"/>
        <w:ind w:firstLine="480" w:firstLineChars="200"/>
        <w:rPr>
          <w:rFonts w:ascii="Times New Roman" w:hAnsi="Times New Roman"/>
          <w:sz w:val="24"/>
          <w:szCs w:val="24"/>
        </w:rPr>
      </w:pPr>
      <w:bookmarkStart w:id="11" w:name="_Toc363643717"/>
      <w:r>
        <w:rPr>
          <w:rFonts w:hint="eastAsia" w:ascii="Times New Roman" w:hAnsi="Times New Roman"/>
          <w:sz w:val="24"/>
          <w:szCs w:val="24"/>
        </w:rPr>
        <w:t>通过对产品碳足迹进行盘查，了解安阳中盈化肥有限公司尿素产品在生命周期内各阶段的碳排放情况，有利于低碳管理、节能降耗，节约生产成本；同时，是响应国家绿色制造政策、履行社会责任的体现，有助于产品生产、企业品牌价值的提升。</w:t>
      </w:r>
    </w:p>
    <w:p>
      <w:pPr>
        <w:pStyle w:val="3"/>
        <w:spacing w:before="480" w:after="120" w:line="480" w:lineRule="exact"/>
        <w:rPr>
          <w:rFonts w:ascii="Times New Roman" w:hAnsi="Times New Roman" w:eastAsia="黑体" w:cs="黑体"/>
          <w:sz w:val="28"/>
          <w:szCs w:val="28"/>
        </w:rPr>
      </w:pPr>
      <w:bookmarkStart w:id="12" w:name="_Toc465"/>
      <w:bookmarkStart w:id="13" w:name="_Toc382387083"/>
      <w:bookmarkStart w:id="14" w:name="_Toc32013"/>
      <w:bookmarkStart w:id="15" w:name="_Toc36765018"/>
      <w:r>
        <w:rPr>
          <w:rFonts w:hint="eastAsia" w:ascii="Times New Roman" w:hAnsi="Times New Roman" w:eastAsia="黑体" w:cs="黑体"/>
          <w:sz w:val="28"/>
          <w:szCs w:val="28"/>
        </w:rPr>
        <w:t>1.2  盘查范围</w:t>
      </w:r>
      <w:bookmarkEnd w:id="11"/>
      <w:bookmarkEnd w:id="12"/>
      <w:bookmarkEnd w:id="13"/>
      <w:bookmarkEnd w:id="14"/>
      <w:bookmarkEnd w:id="15"/>
    </w:p>
    <w:p>
      <w:pPr>
        <w:pStyle w:val="4"/>
        <w:spacing w:before="240" w:after="120" w:line="400" w:lineRule="exact"/>
        <w:rPr>
          <w:rFonts w:ascii="Times New Roman" w:hAnsi="Times New Roman" w:eastAsia="黑体"/>
          <w:sz w:val="26"/>
          <w:szCs w:val="26"/>
        </w:rPr>
      </w:pPr>
      <w:bookmarkStart w:id="16" w:name="_Toc36765019"/>
      <w:bookmarkStart w:id="17" w:name="_Toc363643718"/>
      <w:bookmarkStart w:id="18" w:name="_Toc382387084"/>
      <w:r>
        <w:rPr>
          <w:rFonts w:ascii="Times New Roman" w:hAnsi="Times New Roman" w:eastAsia="黑体"/>
          <w:sz w:val="26"/>
          <w:szCs w:val="26"/>
        </w:rPr>
        <w:t>1</w:t>
      </w:r>
      <w:r>
        <w:rPr>
          <w:rFonts w:hint="eastAsia" w:ascii="Times New Roman" w:hAnsi="Times New Roman" w:eastAsia="黑体"/>
          <w:sz w:val="26"/>
          <w:szCs w:val="26"/>
        </w:rPr>
        <w:t>.</w:t>
      </w:r>
      <w:r>
        <w:rPr>
          <w:rFonts w:ascii="Times New Roman" w:hAnsi="Times New Roman" w:eastAsia="黑体"/>
          <w:sz w:val="26"/>
          <w:szCs w:val="26"/>
        </w:rPr>
        <w:t>2</w:t>
      </w:r>
      <w:r>
        <w:rPr>
          <w:rFonts w:hint="eastAsia" w:ascii="Times New Roman" w:hAnsi="Times New Roman" w:eastAsia="黑体"/>
          <w:sz w:val="26"/>
          <w:szCs w:val="26"/>
        </w:rPr>
        <w:t>.1  产品碳足迹范围描述</w:t>
      </w:r>
      <w:bookmarkEnd w:id="16"/>
    </w:p>
    <w:p>
      <w:pPr>
        <w:spacing w:line="400" w:lineRule="exact"/>
        <w:ind w:firstLine="420"/>
        <w:rPr>
          <w:rFonts w:ascii="Times New Roman" w:hAnsi="Times New Roman"/>
          <w:sz w:val="24"/>
          <w:szCs w:val="24"/>
        </w:rPr>
      </w:pPr>
      <w:r>
        <w:rPr>
          <w:rFonts w:hint="eastAsia" w:ascii="Times New Roman" w:hAnsi="Times New Roman"/>
          <w:sz w:val="24"/>
          <w:szCs w:val="24"/>
        </w:rPr>
        <w:t>本报告盘查的温室气体种类包含IPCC2007第4次评估报告中所列的温室气体，如二氧化碳（CO</w:t>
      </w:r>
      <w:r>
        <w:rPr>
          <w:rFonts w:hint="eastAsia" w:ascii="Times New Roman" w:hAnsi="Times New Roman"/>
          <w:sz w:val="24"/>
          <w:szCs w:val="24"/>
          <w:vertAlign w:val="subscript"/>
        </w:rPr>
        <w:t>2</w:t>
      </w:r>
      <w:r>
        <w:rPr>
          <w:rFonts w:hint="eastAsia" w:ascii="Times New Roman" w:hAnsi="Times New Roman"/>
          <w:sz w:val="24"/>
          <w:szCs w:val="24"/>
        </w:rPr>
        <w:t>）、甲烷（CH</w:t>
      </w:r>
      <w:r>
        <w:rPr>
          <w:rFonts w:hint="eastAsia" w:ascii="Times New Roman" w:hAnsi="Times New Roman"/>
          <w:sz w:val="24"/>
          <w:szCs w:val="24"/>
          <w:vertAlign w:val="subscript"/>
        </w:rPr>
        <w:t>4</w:t>
      </w:r>
      <w:r>
        <w:rPr>
          <w:rFonts w:hint="eastAsia" w:ascii="Times New Roman" w:hAnsi="Times New Roman"/>
          <w:sz w:val="24"/>
          <w:szCs w:val="24"/>
        </w:rPr>
        <w:t>）、氧化亚氮（N</w:t>
      </w:r>
      <w:r>
        <w:rPr>
          <w:rFonts w:hint="eastAsia" w:ascii="Times New Roman" w:hAnsi="Times New Roman"/>
          <w:sz w:val="24"/>
          <w:szCs w:val="24"/>
          <w:vertAlign w:val="subscript"/>
        </w:rPr>
        <w:t>2</w:t>
      </w:r>
      <w:r>
        <w:rPr>
          <w:rFonts w:hint="eastAsia" w:ascii="Times New Roman" w:hAnsi="Times New Roman"/>
          <w:sz w:val="24"/>
          <w:szCs w:val="24"/>
        </w:rPr>
        <w:t>O）、氢氟碳化物（HFC）和全氟化碳（PFC）等，并且采用了IPCC第四次评估报告（2007年）提出的方法来计算产品生产周期的GWP值。为方便计算，本报告所识别的温室气体仅为二氧化碳。</w:t>
      </w:r>
    </w:p>
    <w:p>
      <w:pPr>
        <w:spacing w:line="400" w:lineRule="exact"/>
        <w:ind w:firstLine="420"/>
        <w:rPr>
          <w:rFonts w:ascii="Times New Roman" w:hAnsi="Times New Roman"/>
          <w:sz w:val="24"/>
          <w:szCs w:val="24"/>
        </w:rPr>
      </w:pPr>
      <w:r>
        <w:rPr>
          <w:rFonts w:hint="eastAsia" w:ascii="Times New Roman" w:hAnsi="Times New Roman"/>
          <w:sz w:val="24"/>
          <w:szCs w:val="24"/>
        </w:rPr>
        <w:t>本文选取公司尿素产品作为目标产品，公司生产该组件时以</w:t>
      </w:r>
      <w:r>
        <w:rPr>
          <w:rFonts w:ascii="Times New Roman" w:hAnsi="Times New Roman"/>
          <w:sz w:val="24"/>
          <w:szCs w:val="24"/>
        </w:rPr>
        <w:t>t</w:t>
      </w:r>
      <w:r>
        <w:rPr>
          <w:rFonts w:hint="eastAsia" w:ascii="Times New Roman" w:hAnsi="Times New Roman"/>
          <w:sz w:val="24"/>
          <w:szCs w:val="24"/>
        </w:rPr>
        <w:t>作为计量单位，因此本文选用1</w:t>
      </w:r>
      <w:r>
        <w:rPr>
          <w:rFonts w:ascii="Times New Roman" w:hAnsi="Times New Roman"/>
          <w:sz w:val="24"/>
          <w:szCs w:val="24"/>
        </w:rPr>
        <w:t>t尿素</w:t>
      </w:r>
      <w:r>
        <w:rPr>
          <w:rFonts w:hint="eastAsia" w:ascii="Times New Roman" w:hAnsi="Times New Roman"/>
          <w:sz w:val="24"/>
          <w:szCs w:val="24"/>
        </w:rPr>
        <w:t>作为碳足迹计算的功能单位。</w:t>
      </w:r>
    </w:p>
    <w:p>
      <w:pPr>
        <w:pStyle w:val="4"/>
        <w:spacing w:before="240" w:after="120" w:line="400" w:lineRule="exact"/>
        <w:rPr>
          <w:rFonts w:ascii="Times New Roman" w:hAnsi="Times New Roman" w:eastAsia="黑体"/>
          <w:sz w:val="26"/>
          <w:szCs w:val="26"/>
        </w:rPr>
      </w:pPr>
      <w:bookmarkStart w:id="19" w:name="_Toc36765020"/>
      <w:r>
        <w:rPr>
          <w:rFonts w:ascii="Times New Roman" w:hAnsi="Times New Roman" w:eastAsia="黑体"/>
          <w:sz w:val="26"/>
          <w:szCs w:val="26"/>
        </w:rPr>
        <w:t>1</w:t>
      </w:r>
      <w:r>
        <w:rPr>
          <w:rFonts w:hint="eastAsia" w:ascii="Times New Roman" w:hAnsi="Times New Roman" w:eastAsia="黑体"/>
          <w:sz w:val="26"/>
          <w:szCs w:val="26"/>
        </w:rPr>
        <w:t>.</w:t>
      </w:r>
      <w:r>
        <w:rPr>
          <w:rFonts w:ascii="Times New Roman" w:hAnsi="Times New Roman" w:eastAsia="黑体"/>
          <w:sz w:val="26"/>
          <w:szCs w:val="26"/>
        </w:rPr>
        <w:t>2</w:t>
      </w:r>
      <w:r>
        <w:rPr>
          <w:rFonts w:hint="eastAsia" w:ascii="Times New Roman" w:hAnsi="Times New Roman" w:eastAsia="黑体"/>
          <w:sz w:val="26"/>
          <w:szCs w:val="26"/>
        </w:rPr>
        <w:t>.</w:t>
      </w:r>
      <w:r>
        <w:rPr>
          <w:rFonts w:ascii="Times New Roman" w:hAnsi="Times New Roman" w:eastAsia="黑体"/>
          <w:sz w:val="26"/>
          <w:szCs w:val="26"/>
        </w:rPr>
        <w:t>2</w:t>
      </w:r>
      <w:r>
        <w:rPr>
          <w:rFonts w:hint="eastAsia" w:ascii="Times New Roman" w:hAnsi="Times New Roman" w:eastAsia="黑体"/>
          <w:sz w:val="26"/>
          <w:szCs w:val="26"/>
        </w:rPr>
        <w:t xml:space="preserve">  碳足迹盘查计算的时间范围</w:t>
      </w:r>
      <w:bookmarkEnd w:id="19"/>
    </w:p>
    <w:p>
      <w:pPr>
        <w:spacing w:line="400" w:lineRule="exact"/>
        <w:ind w:firstLine="420"/>
        <w:rPr>
          <w:rFonts w:ascii="Times New Roman" w:hAnsi="Times New Roman"/>
          <w:sz w:val="24"/>
          <w:szCs w:val="24"/>
        </w:rPr>
      </w:pPr>
      <w:r>
        <w:rPr>
          <w:rFonts w:hint="eastAsia" w:ascii="Times New Roman" w:hAnsi="Times New Roman"/>
          <w:sz w:val="24"/>
          <w:szCs w:val="24"/>
        </w:rPr>
        <w:t>安阳中盈化肥有限公司选用201</w:t>
      </w:r>
      <w:r>
        <w:rPr>
          <w:rFonts w:ascii="Times New Roman" w:hAnsi="Times New Roman"/>
          <w:sz w:val="24"/>
          <w:szCs w:val="24"/>
        </w:rPr>
        <w:t>9</w:t>
      </w:r>
      <w:r>
        <w:rPr>
          <w:rFonts w:hint="eastAsia" w:ascii="Times New Roman" w:hAnsi="Times New Roman"/>
          <w:sz w:val="24"/>
          <w:szCs w:val="24"/>
        </w:rPr>
        <w:t>年整个自然年度（即201</w:t>
      </w:r>
      <w:r>
        <w:rPr>
          <w:rFonts w:ascii="Times New Roman" w:hAnsi="Times New Roman"/>
          <w:sz w:val="24"/>
          <w:szCs w:val="24"/>
        </w:rPr>
        <w:t>9</w:t>
      </w:r>
      <w:r>
        <w:rPr>
          <w:rFonts w:hint="eastAsia" w:ascii="Times New Roman" w:hAnsi="Times New Roman"/>
          <w:sz w:val="24"/>
          <w:szCs w:val="24"/>
        </w:rPr>
        <w:t>年1月1日-12月31日）的数据进行产品碳足迹计算，采用大样本计算，有效减少数据带来的计算结果准确性差的问题。</w:t>
      </w:r>
    </w:p>
    <w:p>
      <w:pPr>
        <w:pStyle w:val="4"/>
        <w:spacing w:before="240" w:after="120" w:line="400" w:lineRule="exact"/>
        <w:rPr>
          <w:rFonts w:ascii="Times New Roman" w:hAnsi="Times New Roman" w:eastAsia="黑体"/>
          <w:sz w:val="26"/>
          <w:szCs w:val="26"/>
        </w:rPr>
      </w:pPr>
      <w:bookmarkStart w:id="20" w:name="_Toc36765021"/>
      <w:r>
        <w:rPr>
          <w:rFonts w:ascii="Times New Roman" w:hAnsi="Times New Roman" w:eastAsia="黑体"/>
          <w:sz w:val="26"/>
          <w:szCs w:val="26"/>
        </w:rPr>
        <w:t>1</w:t>
      </w:r>
      <w:r>
        <w:rPr>
          <w:rFonts w:hint="eastAsia" w:ascii="Times New Roman" w:hAnsi="Times New Roman" w:eastAsia="黑体"/>
          <w:sz w:val="26"/>
          <w:szCs w:val="26"/>
        </w:rPr>
        <w:t>.</w:t>
      </w:r>
      <w:r>
        <w:rPr>
          <w:rFonts w:ascii="Times New Roman" w:hAnsi="Times New Roman" w:eastAsia="黑体"/>
          <w:sz w:val="26"/>
          <w:szCs w:val="26"/>
        </w:rPr>
        <w:t>2</w:t>
      </w:r>
      <w:r>
        <w:rPr>
          <w:rFonts w:hint="eastAsia" w:ascii="Times New Roman" w:hAnsi="Times New Roman" w:eastAsia="黑体"/>
          <w:sz w:val="26"/>
          <w:szCs w:val="26"/>
        </w:rPr>
        <w:t>.</w:t>
      </w:r>
      <w:r>
        <w:rPr>
          <w:rFonts w:ascii="Times New Roman" w:hAnsi="Times New Roman" w:eastAsia="黑体"/>
          <w:sz w:val="26"/>
          <w:szCs w:val="26"/>
        </w:rPr>
        <w:t>3</w:t>
      </w:r>
      <w:r>
        <w:rPr>
          <w:rFonts w:hint="eastAsia" w:ascii="Times New Roman" w:hAnsi="Times New Roman" w:eastAsia="黑体"/>
          <w:sz w:val="26"/>
          <w:szCs w:val="26"/>
        </w:rPr>
        <w:t xml:space="preserve">  碳足迹盘查的系统边界</w:t>
      </w:r>
      <w:bookmarkEnd w:id="20"/>
    </w:p>
    <w:p>
      <w:pPr>
        <w:spacing w:line="400" w:lineRule="exact"/>
        <w:ind w:firstLine="420"/>
        <w:rPr>
          <w:rFonts w:ascii="Times New Roman" w:hAnsi="Times New Roman"/>
          <w:sz w:val="24"/>
          <w:szCs w:val="24"/>
        </w:rPr>
      </w:pPr>
      <w:r>
        <w:rPr>
          <w:rFonts w:hint="eastAsia" w:ascii="Times New Roman" w:hAnsi="Times New Roman"/>
          <w:sz w:val="24"/>
          <w:szCs w:val="24"/>
        </w:rPr>
        <w:t>由于无法统计原材料运输过程产生排放量，产品的运输</w:t>
      </w:r>
      <w:r>
        <w:rPr>
          <w:rFonts w:ascii="Times New Roman" w:hAnsi="Times New Roman"/>
          <w:sz w:val="24"/>
          <w:szCs w:val="24"/>
        </w:rPr>
        <w:t>、</w:t>
      </w:r>
      <w:r>
        <w:rPr>
          <w:rFonts w:hint="eastAsia" w:ascii="Times New Roman" w:hAnsi="Times New Roman"/>
          <w:sz w:val="24"/>
          <w:szCs w:val="24"/>
        </w:rPr>
        <w:t>使用和使用后废弃物处理的</w:t>
      </w:r>
      <w:r>
        <w:rPr>
          <w:rFonts w:ascii="Times New Roman" w:hAnsi="Times New Roman"/>
          <w:sz w:val="24"/>
          <w:szCs w:val="24"/>
        </w:rPr>
        <w:t>排放量</w:t>
      </w:r>
      <w:r>
        <w:rPr>
          <w:rFonts w:hint="eastAsia" w:ascii="Times New Roman" w:hAnsi="Times New Roman"/>
          <w:sz w:val="24"/>
          <w:szCs w:val="24"/>
        </w:rPr>
        <w:t>，因此</w:t>
      </w:r>
      <w:r>
        <w:rPr>
          <w:rFonts w:ascii="Times New Roman" w:hAnsi="Times New Roman"/>
          <w:sz w:val="24"/>
          <w:szCs w:val="24"/>
        </w:rPr>
        <w:t>本次碳足迹盘查边界以</w:t>
      </w:r>
      <w:r>
        <w:rPr>
          <w:rFonts w:hint="eastAsia" w:ascii="Times New Roman" w:hAnsi="Times New Roman"/>
          <w:sz w:val="24"/>
          <w:szCs w:val="24"/>
        </w:rPr>
        <w:t>原煤等原材料入厂开始至</w:t>
      </w:r>
      <w:r>
        <w:rPr>
          <w:rFonts w:ascii="Times New Roman" w:hAnsi="Times New Roman"/>
          <w:sz w:val="24"/>
          <w:szCs w:val="24"/>
        </w:rPr>
        <w:t>尿素出厂为</w:t>
      </w:r>
      <w:r>
        <w:rPr>
          <w:rFonts w:hint="eastAsia" w:ascii="Times New Roman" w:hAnsi="Times New Roman"/>
          <w:sz w:val="24"/>
          <w:szCs w:val="24"/>
        </w:rPr>
        <w:t>止的</w:t>
      </w:r>
      <w:r>
        <w:rPr>
          <w:rFonts w:ascii="Times New Roman" w:hAnsi="Times New Roman"/>
          <w:sz w:val="24"/>
          <w:szCs w:val="24"/>
        </w:rPr>
        <w:t>生产</w:t>
      </w:r>
      <w:r>
        <w:rPr>
          <w:rFonts w:hint="eastAsia" w:ascii="Times New Roman" w:hAnsi="Times New Roman"/>
          <w:sz w:val="24"/>
          <w:szCs w:val="24"/>
        </w:rPr>
        <w:t>阶段。其中原料开采、交通工具、基础设施的生产、</w:t>
      </w:r>
      <w:r>
        <w:rPr>
          <w:rFonts w:ascii="Times New Roman" w:hAnsi="Times New Roman"/>
          <w:sz w:val="24"/>
          <w:szCs w:val="24"/>
        </w:rPr>
        <w:t>产品的运输及产品使用</w:t>
      </w:r>
      <w:r>
        <w:rPr>
          <w:rFonts w:hint="eastAsia" w:ascii="Times New Roman" w:hAnsi="Times New Roman"/>
          <w:sz w:val="24"/>
          <w:szCs w:val="24"/>
        </w:rPr>
        <w:t>不在本盘查报告边界范围内。</w:t>
      </w:r>
    </w:p>
    <w:p>
      <w:pPr>
        <w:pStyle w:val="3"/>
        <w:spacing w:before="480" w:after="120" w:line="480" w:lineRule="exact"/>
        <w:rPr>
          <w:rFonts w:ascii="Times New Roman" w:hAnsi="Times New Roman" w:eastAsia="黑体" w:cs="黑体"/>
          <w:sz w:val="28"/>
          <w:szCs w:val="28"/>
        </w:rPr>
      </w:pPr>
      <w:bookmarkStart w:id="21" w:name="_Toc12679"/>
      <w:bookmarkStart w:id="22" w:name="_Toc24220"/>
      <w:bookmarkStart w:id="23" w:name="_Toc36765022"/>
      <w:r>
        <w:rPr>
          <w:rFonts w:hint="eastAsia" w:ascii="Times New Roman" w:hAnsi="Times New Roman" w:eastAsia="黑体" w:cs="黑体"/>
          <w:sz w:val="28"/>
          <w:szCs w:val="28"/>
        </w:rPr>
        <w:t>1.3  盘查准则</w:t>
      </w:r>
      <w:bookmarkEnd w:id="17"/>
      <w:bookmarkEnd w:id="18"/>
      <w:bookmarkEnd w:id="21"/>
      <w:bookmarkEnd w:id="22"/>
      <w:bookmarkEnd w:id="23"/>
    </w:p>
    <w:p>
      <w:pPr>
        <w:spacing w:line="400" w:lineRule="exact"/>
        <w:ind w:firstLine="480" w:firstLineChars="200"/>
        <w:rPr>
          <w:rFonts w:ascii="Times New Roman" w:hAnsi="Times New Roman"/>
          <w:sz w:val="24"/>
          <w:szCs w:val="24"/>
        </w:rPr>
      </w:pPr>
      <w:r>
        <w:rPr>
          <w:rFonts w:hint="eastAsia" w:ascii="Times New Roman" w:hAnsi="Times New Roman"/>
          <w:sz w:val="24"/>
          <w:szCs w:val="24"/>
        </w:rPr>
        <w:t>本次盘查过程中所依据的盘查准则，包括但不限于：</w:t>
      </w:r>
    </w:p>
    <w:p>
      <w:pPr>
        <w:pStyle w:val="61"/>
        <w:numPr>
          <w:ilvl w:val="0"/>
          <w:numId w:val="1"/>
        </w:numPr>
        <w:spacing w:line="400" w:lineRule="exact"/>
        <w:ind w:firstLineChars="0"/>
        <w:rPr>
          <w:rFonts w:ascii="Times New Roman" w:hAnsi="Times New Roman" w:eastAsia="仿宋_GB2312"/>
          <w:sz w:val="28"/>
          <w:szCs w:val="28"/>
        </w:rPr>
      </w:pPr>
      <w:r>
        <w:rPr>
          <w:rFonts w:ascii="Times New Roman" w:hAnsi="Times New Roman"/>
          <w:sz w:val="24"/>
          <w:szCs w:val="24"/>
        </w:rPr>
        <w:t>PAS 2050</w:t>
      </w:r>
      <w:r>
        <w:rPr>
          <w:rFonts w:hint="eastAsia" w:ascii="Times New Roman" w:hAnsi="Times New Roman"/>
          <w:sz w:val="24"/>
          <w:szCs w:val="24"/>
        </w:rPr>
        <w:t>：</w:t>
      </w:r>
      <w:r>
        <w:rPr>
          <w:rFonts w:ascii="Times New Roman" w:hAnsi="Times New Roman"/>
          <w:sz w:val="24"/>
          <w:szCs w:val="24"/>
        </w:rPr>
        <w:t xml:space="preserve">2011 </w:t>
      </w:r>
      <w:r>
        <w:rPr>
          <w:rFonts w:hint="eastAsia" w:ascii="Times New Roman" w:hAnsi="Times New Roman"/>
          <w:sz w:val="24"/>
          <w:szCs w:val="24"/>
        </w:rPr>
        <w:t>《商品和服务在生命周期内的温室气体排放评价规范》；</w:t>
      </w:r>
    </w:p>
    <w:p>
      <w:pPr>
        <w:ind w:left="61" w:leftChars="29" w:firstLine="420" w:firstLineChars="150"/>
        <w:jc w:val="left"/>
        <w:rPr>
          <w:rFonts w:ascii="Times New Roman" w:hAnsi="Times New Roman" w:eastAsia="仿宋_GB2312"/>
          <w:sz w:val="28"/>
          <w:szCs w:val="28"/>
        </w:rPr>
        <w:sectPr>
          <w:headerReference r:id="rId5" w:type="default"/>
          <w:footerReference r:id="rId6" w:type="default"/>
          <w:pgSz w:w="11906" w:h="16838"/>
          <w:pgMar w:top="1440" w:right="1800" w:bottom="1440" w:left="1800" w:header="851" w:footer="992" w:gutter="0"/>
          <w:pgNumType w:start="1"/>
          <w:cols w:space="720" w:num="1"/>
          <w:docGrid w:type="lines" w:linePitch="312" w:charSpace="0"/>
        </w:sectPr>
      </w:pPr>
    </w:p>
    <w:p>
      <w:pPr>
        <w:pStyle w:val="2"/>
        <w:spacing w:before="480" w:after="360" w:line="240" w:lineRule="auto"/>
        <w:jc w:val="left"/>
        <w:rPr>
          <w:rFonts w:ascii="Times New Roman" w:hAnsi="Times New Roman" w:eastAsia="仿宋_GB2312"/>
          <w:sz w:val="28"/>
          <w:szCs w:val="28"/>
        </w:rPr>
      </w:pPr>
      <w:bookmarkStart w:id="24" w:name="_Toc382387085"/>
      <w:bookmarkStart w:id="25" w:name="_Toc28451"/>
      <w:bookmarkStart w:id="26" w:name="_Toc363643719"/>
      <w:bookmarkStart w:id="27" w:name="_Toc16506"/>
      <w:bookmarkStart w:id="28" w:name="_Toc36765023"/>
      <w:r>
        <w:rPr>
          <w:rFonts w:hint="eastAsia" w:ascii="Times New Roman" w:hAnsi="Times New Roman" w:eastAsia="黑体" w:cs="黑体"/>
          <w:sz w:val="32"/>
          <w:szCs w:val="32"/>
        </w:rPr>
        <w:t xml:space="preserve">2  </w:t>
      </w:r>
      <w:bookmarkEnd w:id="24"/>
      <w:bookmarkEnd w:id="25"/>
      <w:bookmarkEnd w:id="26"/>
      <w:bookmarkEnd w:id="27"/>
      <w:bookmarkStart w:id="29" w:name="_Toc363643724"/>
      <w:bookmarkStart w:id="30" w:name="_Toc19453"/>
      <w:bookmarkStart w:id="31" w:name="_Toc9948"/>
      <w:bookmarkStart w:id="32" w:name="_Toc382387090"/>
      <w:r>
        <w:rPr>
          <w:rFonts w:hint="eastAsia" w:ascii="Times New Roman" w:hAnsi="Times New Roman" w:eastAsia="黑体" w:cs="黑体"/>
          <w:sz w:val="32"/>
          <w:szCs w:val="32"/>
        </w:rPr>
        <w:t>盘查发现</w:t>
      </w:r>
      <w:bookmarkEnd w:id="28"/>
      <w:bookmarkEnd w:id="29"/>
      <w:bookmarkEnd w:id="30"/>
      <w:bookmarkEnd w:id="31"/>
      <w:bookmarkEnd w:id="32"/>
    </w:p>
    <w:p>
      <w:pPr>
        <w:pStyle w:val="3"/>
        <w:spacing w:before="480" w:after="120" w:line="480" w:lineRule="exact"/>
        <w:rPr>
          <w:rFonts w:ascii="Times New Roman" w:hAnsi="Times New Roman" w:eastAsia="黑体" w:cs="黑体"/>
          <w:sz w:val="28"/>
          <w:szCs w:val="28"/>
        </w:rPr>
      </w:pPr>
      <w:bookmarkStart w:id="33" w:name="_Toc25384"/>
      <w:bookmarkStart w:id="34" w:name="_Toc21471"/>
      <w:bookmarkStart w:id="35" w:name="_Toc363643725"/>
      <w:bookmarkStart w:id="36" w:name="_Toc382387091"/>
      <w:bookmarkStart w:id="37" w:name="_Toc36765024"/>
      <w:r>
        <w:rPr>
          <w:rFonts w:ascii="Times New Roman" w:hAnsi="Times New Roman" w:eastAsia="黑体" w:cs="黑体"/>
          <w:sz w:val="28"/>
          <w:szCs w:val="28"/>
        </w:rPr>
        <w:t>2</w:t>
      </w:r>
      <w:r>
        <w:rPr>
          <w:rFonts w:hint="eastAsia" w:ascii="Times New Roman" w:hAnsi="Times New Roman" w:eastAsia="黑体" w:cs="黑体"/>
          <w:sz w:val="28"/>
          <w:szCs w:val="28"/>
        </w:rPr>
        <w:t>.1  企业的基本信息</w:t>
      </w:r>
      <w:bookmarkEnd w:id="33"/>
      <w:bookmarkEnd w:id="34"/>
      <w:bookmarkEnd w:id="35"/>
      <w:bookmarkEnd w:id="36"/>
      <w:bookmarkEnd w:id="37"/>
    </w:p>
    <w:p>
      <w:pPr>
        <w:pStyle w:val="4"/>
        <w:spacing w:before="240" w:after="120" w:line="400" w:lineRule="exact"/>
        <w:rPr>
          <w:rFonts w:ascii="Times New Roman" w:hAnsi="Times New Roman" w:eastAsia="黑体"/>
          <w:sz w:val="26"/>
          <w:szCs w:val="26"/>
        </w:rPr>
      </w:pPr>
      <w:bookmarkStart w:id="38" w:name="_Toc36765025"/>
      <w:r>
        <w:rPr>
          <w:rFonts w:ascii="Times New Roman" w:hAnsi="Times New Roman" w:eastAsia="黑体"/>
          <w:sz w:val="26"/>
          <w:szCs w:val="26"/>
        </w:rPr>
        <w:t>2</w:t>
      </w:r>
      <w:r>
        <w:rPr>
          <w:rFonts w:hint="eastAsia" w:ascii="Times New Roman" w:hAnsi="Times New Roman" w:eastAsia="黑体"/>
          <w:sz w:val="26"/>
          <w:szCs w:val="26"/>
        </w:rPr>
        <w:t>.1.1  企业简介</w:t>
      </w:r>
      <w:bookmarkEnd w:id="38"/>
    </w:p>
    <w:p>
      <w:pPr>
        <w:spacing w:line="400" w:lineRule="exact"/>
        <w:ind w:firstLine="480" w:firstLineChars="200"/>
        <w:rPr>
          <w:rFonts w:ascii="Times New Roman" w:hAnsi="Times New Roman"/>
          <w:sz w:val="24"/>
          <w:szCs w:val="24"/>
        </w:rPr>
      </w:pPr>
      <w:r>
        <w:rPr>
          <w:rFonts w:hint="eastAsia" w:ascii="Times New Roman" w:hAnsi="Times New Roman"/>
          <w:sz w:val="24"/>
          <w:szCs w:val="24"/>
        </w:rPr>
        <w:t>安阳中盈化肥有限公司、安阳盈德气体有限公司位于河南滑县县城东南方向5km，滑县至留固镇公里和长垣县公路交叉口处，文革河以东，什牌村与宣武庄之间。公司于2010年动工建设，2013年建成投入试生产。其中安阳盈德气体有限公司主要生产合成气，安阳中盈化肥有限公司生产合成氨、尿素。安阳盈德气体有限公司150000Nm</w:t>
      </w:r>
      <w:r>
        <w:rPr>
          <w:rFonts w:hint="eastAsia" w:ascii="Times New Roman" w:hAnsi="Times New Roman"/>
          <w:sz w:val="24"/>
          <w:szCs w:val="24"/>
          <w:vertAlign w:val="superscript"/>
        </w:rPr>
        <w:t>3</w:t>
      </w:r>
      <w:r>
        <w:rPr>
          <w:rFonts w:hint="eastAsia" w:ascii="Times New Roman" w:hAnsi="Times New Roman"/>
          <w:sz w:val="24"/>
          <w:szCs w:val="24"/>
        </w:rPr>
        <w:t>/h合成气氢氮气化学配比3:1系为安阳中盈化肥有限公司年产60万吨尿素项目配套建设的工业气体装置，向合成氨、尿素装置提供气体原料。2011年5月30日，企业取得了河南省环境保护厅的项目建设环评批复，批复文件为《河南省环境保护厅关于河南中科辉煌化工有限公司年产60万吨尿素项目环境影响报告的批复》豫环审〔2011〕117号。2013年8月28日，河南省环境保护厅以豫环评管〔2013〕109号文《关于河南中科辉煌化工有限公司年产60万吨尿素项目变更建设单位的函》对年产60万吨尿素项目建设单位由“河南中科辉煌化工有限公司”变更为“安阳盈德气体有限公司和安阳中盈化肥有限公司”进行了批示。2017年1月18日，企业顺利取得了河南省环境保护厅的竣工环境保护验收，验收通过文件为《河南省环境保护厅关于安阳盈德气体有限公司和安阳中盈化肥有限公司年产60万吨尿素项目竣工环境保护验收的函》豫环函〔2017〕8号。</w:t>
      </w:r>
    </w:p>
    <w:p>
      <w:pPr>
        <w:rPr>
          <w:rFonts w:ascii="Times New Roman" w:hAnsi="Times New Roman"/>
          <w:sz w:val="24"/>
          <w:szCs w:val="24"/>
        </w:rPr>
      </w:pPr>
      <w:r>
        <w:rPr>
          <w:rFonts w:ascii="Times New Roman" w:hAnsi="Times New Roman"/>
          <w:sz w:val="24"/>
          <w:szCs w:val="24"/>
        </w:rPr>
        <w:drawing>
          <wp:inline distT="0" distB="0" distL="0" distR="0">
            <wp:extent cx="5274310" cy="3254375"/>
            <wp:effectExtent l="0" t="0" r="2540" b="3175"/>
            <wp:docPr id="2" name="图片 2" descr="E:\绿色工厂评价\中盈和盈德绿色工厂创建相关文件资料\安阳中盈化肥\安阳中盈化肥照片\公司大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绿色工厂评价\中盈和盈德绿色工厂创建相关文件资料\安阳中盈化肥\安阳中盈化肥照片\公司大门.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4310" cy="3254560"/>
                    </a:xfrm>
                    <a:prstGeom prst="rect">
                      <a:avLst/>
                    </a:prstGeom>
                    <a:noFill/>
                    <a:ln>
                      <a:noFill/>
                    </a:ln>
                  </pic:spPr>
                </pic:pic>
              </a:graphicData>
            </a:graphic>
          </wp:inline>
        </w:drawing>
      </w:r>
    </w:p>
    <w:p>
      <w:pPr>
        <w:pStyle w:val="3"/>
        <w:spacing w:before="480" w:after="120" w:line="480" w:lineRule="exact"/>
        <w:rPr>
          <w:rFonts w:ascii="Times New Roman" w:hAnsi="Times New Roman" w:eastAsia="黑体" w:cs="黑体"/>
          <w:sz w:val="28"/>
          <w:szCs w:val="28"/>
        </w:rPr>
      </w:pPr>
      <w:bookmarkStart w:id="39" w:name="_Toc36765026"/>
      <w:r>
        <w:rPr>
          <w:rFonts w:hint="eastAsia" w:ascii="Times New Roman" w:hAnsi="Times New Roman" w:eastAsia="黑体" w:cs="黑体"/>
          <w:sz w:val="28"/>
          <w:szCs w:val="28"/>
        </w:rPr>
        <w:t>2.</w:t>
      </w:r>
      <w:r>
        <w:rPr>
          <w:rFonts w:ascii="Times New Roman" w:hAnsi="Times New Roman" w:eastAsia="黑体" w:cs="黑体"/>
          <w:sz w:val="28"/>
          <w:szCs w:val="28"/>
        </w:rPr>
        <w:t xml:space="preserve">2  </w:t>
      </w:r>
      <w:r>
        <w:rPr>
          <w:rFonts w:hint="eastAsia" w:ascii="Times New Roman" w:hAnsi="Times New Roman" w:eastAsia="黑体" w:cs="黑体"/>
          <w:sz w:val="28"/>
          <w:szCs w:val="28"/>
        </w:rPr>
        <w:t>碳足迹盘查数据类别与来源</w:t>
      </w:r>
      <w:bookmarkEnd w:id="39"/>
    </w:p>
    <w:p>
      <w:pPr>
        <w:spacing w:before="240" w:after="120"/>
        <w:jc w:val="center"/>
        <w:rPr>
          <w:rFonts w:ascii="Times New Roman" w:hAnsi="Times New Roman"/>
          <w:sz w:val="22"/>
        </w:rPr>
      </w:pPr>
      <w:r>
        <w:rPr>
          <w:rFonts w:hint="eastAsia" w:ascii="Times New Roman" w:hAnsi="Times New Roman"/>
          <w:sz w:val="22"/>
        </w:rPr>
        <w:t>表</w:t>
      </w:r>
      <w:r>
        <w:rPr>
          <w:rFonts w:ascii="Times New Roman" w:hAnsi="Times New Roman"/>
          <w:sz w:val="22"/>
        </w:rPr>
        <w:t>2</w:t>
      </w:r>
      <w:r>
        <w:rPr>
          <w:rFonts w:hint="eastAsia" w:ascii="Times New Roman" w:hAnsi="Times New Roman"/>
          <w:sz w:val="22"/>
        </w:rPr>
        <w:t>-2  碳足迹盘查数据类别与来源</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1"/>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vAlign w:val="center"/>
          </w:tcPr>
          <w:p>
            <w:pPr>
              <w:spacing w:before="60" w:after="60"/>
              <w:jc w:val="center"/>
              <w:rPr>
                <w:rFonts w:ascii="Times New Roman" w:hAnsi="Times New Roman"/>
                <w:b/>
                <w:bCs/>
                <w:sz w:val="22"/>
              </w:rPr>
            </w:pPr>
            <w:r>
              <w:rPr>
                <w:rFonts w:ascii="Times New Roman" w:hAnsi="Times New Roman"/>
                <w:b/>
                <w:bCs/>
                <w:sz w:val="22"/>
              </w:rPr>
              <w:t>数据类别</w:t>
            </w:r>
          </w:p>
        </w:tc>
        <w:tc>
          <w:tcPr>
            <w:tcW w:w="1667" w:type="pct"/>
            <w:vAlign w:val="center"/>
          </w:tcPr>
          <w:p>
            <w:pPr>
              <w:spacing w:before="60" w:after="60"/>
              <w:jc w:val="center"/>
              <w:rPr>
                <w:rFonts w:ascii="Times New Roman" w:hAnsi="Times New Roman"/>
                <w:b/>
                <w:bCs/>
                <w:sz w:val="22"/>
              </w:rPr>
            </w:pPr>
            <w:r>
              <w:rPr>
                <w:rFonts w:ascii="Times New Roman" w:hAnsi="Times New Roman"/>
                <w:b/>
                <w:bCs/>
                <w:sz w:val="22"/>
              </w:rPr>
              <w:t>活动数据来源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restart"/>
            <w:vAlign w:val="center"/>
          </w:tcPr>
          <w:p>
            <w:pPr>
              <w:spacing w:before="60" w:after="60"/>
              <w:jc w:val="center"/>
              <w:rPr>
                <w:rFonts w:ascii="Times New Roman" w:hAnsi="Times New Roman"/>
                <w:b/>
                <w:bCs/>
                <w:sz w:val="22"/>
              </w:rPr>
            </w:pPr>
            <w:r>
              <w:rPr>
                <w:rFonts w:ascii="Times New Roman" w:hAnsi="Times New Roman"/>
                <w:b/>
                <w:bCs/>
                <w:sz w:val="22"/>
              </w:rPr>
              <w:t>能源使用</w:t>
            </w:r>
          </w:p>
        </w:tc>
        <w:tc>
          <w:tcPr>
            <w:tcW w:w="1667" w:type="pct"/>
            <w:vAlign w:val="center"/>
          </w:tcPr>
          <w:p>
            <w:pPr>
              <w:spacing w:before="60" w:after="60"/>
              <w:jc w:val="center"/>
              <w:rPr>
                <w:rFonts w:ascii="Times New Roman" w:hAnsi="Times New Roman"/>
                <w:bCs/>
                <w:sz w:val="22"/>
              </w:rPr>
            </w:pPr>
            <w:r>
              <w:rPr>
                <w:rFonts w:hint="eastAsia" w:ascii="Times New Roman" w:hAnsi="Times New Roman"/>
                <w:bCs/>
                <w:sz w:val="22"/>
              </w:rPr>
              <w:t>原煤</w:t>
            </w:r>
          </w:p>
        </w:tc>
        <w:tc>
          <w:tcPr>
            <w:tcW w:w="1667" w:type="pct"/>
            <w:vMerge w:val="restart"/>
            <w:vAlign w:val="center"/>
          </w:tcPr>
          <w:p>
            <w:pPr>
              <w:spacing w:before="60" w:after="60"/>
              <w:jc w:val="center"/>
              <w:rPr>
                <w:rFonts w:ascii="Times New Roman" w:hAnsi="Times New Roman"/>
                <w:bCs/>
                <w:sz w:val="22"/>
              </w:rPr>
            </w:pPr>
            <w:r>
              <w:rPr>
                <w:rFonts w:ascii="Times New Roman" w:hAnsi="Times New Roman"/>
                <w:bCs/>
                <w:sz w:val="22"/>
              </w:rPr>
              <w:t>《</w:t>
            </w:r>
            <w:r>
              <w:rPr>
                <w:rFonts w:hint="eastAsia" w:ascii="Times New Roman" w:hAnsi="Times New Roman"/>
                <w:bCs/>
                <w:sz w:val="22"/>
              </w:rPr>
              <w:t>2019年产量、主要物料消耗统计表</w:t>
            </w:r>
            <w:r>
              <w:rPr>
                <w:rFonts w:ascii="Times New Roman" w:hAnsi="Times New Roman"/>
                <w:bCs/>
                <w:sz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continue"/>
            <w:vAlign w:val="center"/>
          </w:tcPr>
          <w:p>
            <w:pPr>
              <w:spacing w:before="60" w:after="60"/>
              <w:jc w:val="center"/>
              <w:rPr>
                <w:rFonts w:ascii="Times New Roman" w:hAnsi="Times New Roman"/>
                <w:b/>
                <w:bCs/>
                <w:sz w:val="22"/>
              </w:rPr>
            </w:pPr>
          </w:p>
        </w:tc>
        <w:tc>
          <w:tcPr>
            <w:tcW w:w="1667" w:type="pct"/>
            <w:vAlign w:val="center"/>
          </w:tcPr>
          <w:p>
            <w:pPr>
              <w:spacing w:before="60" w:after="60"/>
              <w:jc w:val="center"/>
              <w:rPr>
                <w:rFonts w:ascii="Times New Roman" w:hAnsi="Times New Roman"/>
                <w:bCs/>
                <w:sz w:val="22"/>
              </w:rPr>
            </w:pPr>
            <w:r>
              <w:rPr>
                <w:rFonts w:ascii="Times New Roman" w:hAnsi="Times New Roman"/>
                <w:bCs/>
                <w:sz w:val="22"/>
              </w:rPr>
              <w:t>天然气</w:t>
            </w:r>
          </w:p>
        </w:tc>
        <w:tc>
          <w:tcPr>
            <w:tcW w:w="1667" w:type="pct"/>
            <w:vMerge w:val="continue"/>
            <w:vAlign w:val="center"/>
          </w:tcPr>
          <w:p>
            <w:pPr>
              <w:spacing w:before="60" w:after="60"/>
              <w:jc w:val="center"/>
              <w:rPr>
                <w:rFonts w:ascii="Times New Roman" w:hAnsi="Times New Roman"/>
                <w:bCs/>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continue"/>
            <w:vAlign w:val="center"/>
          </w:tcPr>
          <w:p>
            <w:pPr>
              <w:spacing w:before="60" w:after="60"/>
              <w:jc w:val="center"/>
              <w:rPr>
                <w:rFonts w:ascii="Times New Roman" w:hAnsi="Times New Roman"/>
                <w:b/>
                <w:bCs/>
                <w:sz w:val="22"/>
              </w:rPr>
            </w:pPr>
          </w:p>
        </w:tc>
        <w:tc>
          <w:tcPr>
            <w:tcW w:w="1667" w:type="pct"/>
            <w:vAlign w:val="center"/>
          </w:tcPr>
          <w:p>
            <w:pPr>
              <w:spacing w:before="60" w:after="60"/>
              <w:jc w:val="center"/>
              <w:rPr>
                <w:rFonts w:ascii="Times New Roman" w:hAnsi="Times New Roman"/>
                <w:bCs/>
                <w:sz w:val="22"/>
              </w:rPr>
            </w:pPr>
            <w:r>
              <w:rPr>
                <w:rFonts w:ascii="Times New Roman" w:hAnsi="Times New Roman"/>
                <w:bCs/>
                <w:sz w:val="22"/>
              </w:rPr>
              <w:t>电力</w:t>
            </w:r>
          </w:p>
        </w:tc>
        <w:tc>
          <w:tcPr>
            <w:tcW w:w="1667" w:type="pct"/>
            <w:vMerge w:val="continue"/>
            <w:vAlign w:val="center"/>
          </w:tcPr>
          <w:p>
            <w:pPr>
              <w:spacing w:before="60" w:after="60"/>
              <w:jc w:val="center"/>
              <w:rPr>
                <w:rFonts w:ascii="Times New Roman" w:hAnsi="Times New Roman"/>
                <w:bCs/>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restart"/>
            <w:vAlign w:val="center"/>
          </w:tcPr>
          <w:p>
            <w:pPr>
              <w:spacing w:before="60" w:after="60"/>
              <w:jc w:val="center"/>
              <w:rPr>
                <w:rFonts w:ascii="Times New Roman" w:hAnsi="Times New Roman"/>
                <w:b/>
                <w:bCs/>
                <w:sz w:val="22"/>
              </w:rPr>
            </w:pPr>
            <w:r>
              <w:rPr>
                <w:rFonts w:ascii="Times New Roman" w:hAnsi="Times New Roman"/>
                <w:b/>
                <w:bCs/>
                <w:sz w:val="22"/>
              </w:rPr>
              <w:t>排放系数</w:t>
            </w:r>
          </w:p>
        </w:tc>
        <w:tc>
          <w:tcPr>
            <w:tcW w:w="1667" w:type="pct"/>
            <w:vAlign w:val="center"/>
          </w:tcPr>
          <w:p>
            <w:pPr>
              <w:spacing w:before="60" w:after="60"/>
              <w:jc w:val="center"/>
              <w:rPr>
                <w:rFonts w:ascii="Times New Roman" w:hAnsi="Times New Roman"/>
                <w:bCs/>
                <w:sz w:val="22"/>
              </w:rPr>
            </w:pPr>
            <w:r>
              <w:rPr>
                <w:rFonts w:hint="eastAsia" w:ascii="Times New Roman" w:hAnsi="Times New Roman"/>
                <w:bCs/>
                <w:sz w:val="22"/>
              </w:rPr>
              <w:t>原煤</w:t>
            </w:r>
          </w:p>
        </w:tc>
        <w:tc>
          <w:tcPr>
            <w:tcW w:w="1667" w:type="pct"/>
            <w:vMerge w:val="restart"/>
            <w:vAlign w:val="center"/>
          </w:tcPr>
          <w:p>
            <w:pPr>
              <w:spacing w:before="60" w:after="60"/>
              <w:jc w:val="center"/>
              <w:rPr>
                <w:rFonts w:ascii="Times New Roman" w:hAnsi="Times New Roman"/>
                <w:bCs/>
                <w:sz w:val="22"/>
              </w:rPr>
            </w:pPr>
            <w:r>
              <w:rPr>
                <w:rFonts w:ascii="Times New Roman" w:hAnsi="Times New Roman"/>
                <w:bCs/>
                <w:sz w:val="22"/>
              </w:rPr>
              <w:t>《</w:t>
            </w:r>
            <w:r>
              <w:rPr>
                <w:rFonts w:hint="eastAsia" w:ascii="Times New Roman" w:hAnsi="Times New Roman"/>
                <w:bCs/>
                <w:sz w:val="22"/>
              </w:rPr>
              <w:t>中国</w:t>
            </w:r>
            <w:r>
              <w:rPr>
                <w:rFonts w:ascii="Times New Roman" w:hAnsi="Times New Roman"/>
                <w:bCs/>
                <w:sz w:val="22"/>
              </w:rPr>
              <w:t>化工生产企业温室气体排放核算</w:t>
            </w:r>
            <w:r>
              <w:rPr>
                <w:rFonts w:hint="eastAsia" w:ascii="Times New Roman" w:hAnsi="Times New Roman"/>
                <w:bCs/>
                <w:sz w:val="22"/>
              </w:rPr>
              <w:t>方法</w:t>
            </w:r>
            <w:r>
              <w:rPr>
                <w:rFonts w:ascii="Times New Roman" w:hAnsi="Times New Roman"/>
                <w:bCs/>
                <w:sz w:val="22"/>
              </w:rPr>
              <w:t>与报告指南（</w:t>
            </w:r>
            <w:r>
              <w:rPr>
                <w:rFonts w:hint="eastAsia" w:ascii="Times New Roman" w:hAnsi="Times New Roman"/>
                <w:bCs/>
                <w:sz w:val="22"/>
              </w:rPr>
              <w:t>试行</w:t>
            </w:r>
            <w:r>
              <w:rPr>
                <w:rFonts w:ascii="Times New Roman" w:hAnsi="Times New Roman"/>
                <w:bCs/>
                <w:sz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continue"/>
            <w:vAlign w:val="center"/>
          </w:tcPr>
          <w:p>
            <w:pPr>
              <w:spacing w:before="60" w:after="60"/>
              <w:jc w:val="center"/>
              <w:rPr>
                <w:rFonts w:ascii="Times New Roman" w:hAnsi="Times New Roman"/>
                <w:b/>
                <w:bCs/>
                <w:sz w:val="22"/>
              </w:rPr>
            </w:pPr>
          </w:p>
        </w:tc>
        <w:tc>
          <w:tcPr>
            <w:tcW w:w="1667" w:type="pct"/>
            <w:vAlign w:val="center"/>
          </w:tcPr>
          <w:p>
            <w:pPr>
              <w:spacing w:before="60" w:after="60"/>
              <w:jc w:val="center"/>
              <w:rPr>
                <w:rFonts w:ascii="Times New Roman" w:hAnsi="Times New Roman"/>
                <w:bCs/>
                <w:sz w:val="22"/>
              </w:rPr>
            </w:pPr>
            <w:r>
              <w:rPr>
                <w:rFonts w:hint="eastAsia" w:ascii="Times New Roman" w:hAnsi="Times New Roman"/>
                <w:bCs/>
                <w:sz w:val="22"/>
              </w:rPr>
              <w:t>天然气</w:t>
            </w:r>
          </w:p>
        </w:tc>
        <w:tc>
          <w:tcPr>
            <w:tcW w:w="1667" w:type="pct"/>
            <w:vMerge w:val="continue"/>
            <w:vAlign w:val="center"/>
          </w:tcPr>
          <w:p>
            <w:pPr>
              <w:spacing w:before="60" w:after="60"/>
              <w:jc w:val="center"/>
              <w:rPr>
                <w:rFonts w:ascii="Times New Roman" w:hAnsi="Times New Roman"/>
                <w:b/>
                <w:bCs/>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vMerge w:val="continue"/>
            <w:vAlign w:val="center"/>
          </w:tcPr>
          <w:p>
            <w:pPr>
              <w:spacing w:before="60" w:after="60"/>
              <w:jc w:val="center"/>
              <w:rPr>
                <w:rFonts w:ascii="Times New Roman" w:hAnsi="Times New Roman"/>
                <w:b/>
                <w:bCs/>
                <w:sz w:val="22"/>
              </w:rPr>
            </w:pPr>
          </w:p>
        </w:tc>
        <w:tc>
          <w:tcPr>
            <w:tcW w:w="1667" w:type="pct"/>
            <w:vAlign w:val="center"/>
          </w:tcPr>
          <w:p>
            <w:pPr>
              <w:spacing w:before="60" w:after="60"/>
              <w:jc w:val="center"/>
              <w:rPr>
                <w:rFonts w:ascii="Times New Roman" w:hAnsi="Times New Roman"/>
                <w:bCs/>
                <w:sz w:val="22"/>
              </w:rPr>
            </w:pPr>
            <w:r>
              <w:rPr>
                <w:rFonts w:hint="eastAsia" w:ascii="Times New Roman" w:hAnsi="Times New Roman"/>
                <w:bCs/>
                <w:sz w:val="22"/>
              </w:rPr>
              <w:t>电力</w:t>
            </w:r>
          </w:p>
        </w:tc>
        <w:tc>
          <w:tcPr>
            <w:tcW w:w="1667" w:type="pct"/>
            <w:vMerge w:val="continue"/>
            <w:vAlign w:val="center"/>
          </w:tcPr>
          <w:p>
            <w:pPr>
              <w:spacing w:before="60" w:after="60"/>
              <w:jc w:val="center"/>
              <w:rPr>
                <w:rFonts w:ascii="Times New Roman" w:hAnsi="Times New Roman"/>
                <w:b/>
                <w:bCs/>
                <w:sz w:val="22"/>
              </w:rPr>
            </w:pPr>
          </w:p>
        </w:tc>
      </w:tr>
    </w:tbl>
    <w:p>
      <w:pPr>
        <w:pStyle w:val="3"/>
        <w:spacing w:before="480" w:after="120" w:line="480" w:lineRule="exact"/>
        <w:rPr>
          <w:rFonts w:ascii="Times New Roman" w:hAnsi="Times New Roman" w:eastAsia="黑体" w:cs="黑体"/>
          <w:sz w:val="28"/>
          <w:szCs w:val="28"/>
        </w:rPr>
      </w:pPr>
      <w:bookmarkStart w:id="40" w:name="_Toc363643730"/>
      <w:bookmarkStart w:id="41" w:name="_Toc382387101"/>
      <w:bookmarkStart w:id="42" w:name="_Toc7838"/>
      <w:bookmarkStart w:id="43" w:name="_Toc17928"/>
      <w:bookmarkStart w:id="44" w:name="_Toc36765027"/>
      <w:r>
        <w:rPr>
          <w:rFonts w:ascii="Times New Roman" w:hAnsi="Times New Roman" w:eastAsia="黑体" w:cs="黑体"/>
          <w:sz w:val="28"/>
          <w:szCs w:val="28"/>
        </w:rPr>
        <w:t>2.3 碳足迹</w:t>
      </w:r>
      <w:r>
        <w:rPr>
          <w:rFonts w:hint="eastAsia" w:ascii="Times New Roman" w:hAnsi="Times New Roman" w:eastAsia="黑体" w:cs="黑体"/>
          <w:sz w:val="28"/>
          <w:szCs w:val="28"/>
        </w:rPr>
        <w:t>计算过程及</w:t>
      </w:r>
      <w:bookmarkEnd w:id="40"/>
      <w:r>
        <w:rPr>
          <w:rFonts w:hint="eastAsia" w:ascii="Times New Roman" w:hAnsi="Times New Roman" w:eastAsia="黑体" w:cs="黑体"/>
          <w:sz w:val="28"/>
          <w:szCs w:val="28"/>
        </w:rPr>
        <w:t>结果</w:t>
      </w:r>
      <w:bookmarkEnd w:id="41"/>
      <w:bookmarkEnd w:id="42"/>
      <w:bookmarkEnd w:id="43"/>
      <w:bookmarkEnd w:id="44"/>
    </w:p>
    <w:p>
      <w:pPr>
        <w:pStyle w:val="4"/>
        <w:spacing w:before="240" w:after="120" w:line="400" w:lineRule="exact"/>
        <w:jc w:val="left"/>
        <w:rPr>
          <w:rFonts w:ascii="Times New Roman" w:hAnsi="Times New Roman"/>
          <w:b w:val="0"/>
          <w:bCs w:val="0"/>
          <w:sz w:val="24"/>
          <w:szCs w:val="24"/>
        </w:rPr>
      </w:pPr>
      <w:bookmarkStart w:id="45" w:name="_Toc382387102"/>
      <w:bookmarkStart w:id="46" w:name="_Toc363643731"/>
      <w:bookmarkStart w:id="47" w:name="_Toc22096"/>
      <w:bookmarkStart w:id="48" w:name="_Toc36765028"/>
      <w:r>
        <w:rPr>
          <w:rFonts w:ascii="Times New Roman" w:hAnsi="Times New Roman" w:eastAsia="黑体"/>
          <w:sz w:val="26"/>
          <w:szCs w:val="26"/>
        </w:rPr>
        <w:t>2</w:t>
      </w:r>
      <w:r>
        <w:rPr>
          <w:rFonts w:hint="eastAsia" w:ascii="Times New Roman" w:hAnsi="Times New Roman" w:eastAsia="黑体"/>
          <w:sz w:val="26"/>
          <w:szCs w:val="26"/>
        </w:rPr>
        <w:t>.</w:t>
      </w:r>
      <w:r>
        <w:rPr>
          <w:rFonts w:ascii="Times New Roman" w:hAnsi="Times New Roman" w:eastAsia="黑体"/>
          <w:sz w:val="26"/>
          <w:szCs w:val="26"/>
        </w:rPr>
        <w:t>3</w:t>
      </w:r>
      <w:r>
        <w:rPr>
          <w:rFonts w:hint="eastAsia" w:ascii="Times New Roman" w:hAnsi="Times New Roman" w:eastAsia="黑体"/>
          <w:sz w:val="26"/>
          <w:szCs w:val="26"/>
        </w:rPr>
        <w:t>.1</w:t>
      </w:r>
      <w:bookmarkEnd w:id="45"/>
      <w:bookmarkEnd w:id="46"/>
      <w:bookmarkEnd w:id="47"/>
      <w:bookmarkStart w:id="49" w:name="_Toc363643732"/>
      <w:r>
        <w:rPr>
          <w:rFonts w:ascii="Times New Roman" w:hAnsi="Times New Roman" w:eastAsia="黑体"/>
          <w:sz w:val="26"/>
          <w:szCs w:val="26"/>
        </w:rPr>
        <w:t xml:space="preserve"> </w:t>
      </w:r>
      <w:r>
        <w:rPr>
          <w:rFonts w:hint="eastAsia" w:ascii="Times New Roman" w:hAnsi="Times New Roman"/>
          <w:sz w:val="24"/>
          <w:szCs w:val="24"/>
        </w:rPr>
        <w:t>计算公式</w:t>
      </w:r>
      <w:bookmarkEnd w:id="48"/>
    </w:p>
    <w:p>
      <w:pPr>
        <w:spacing w:line="400" w:lineRule="exact"/>
        <w:ind w:firstLine="480" w:firstLineChars="200"/>
        <w:jc w:val="left"/>
        <w:rPr>
          <w:rFonts w:ascii="Times New Roman" w:hAnsi="Times New Roman"/>
          <w:sz w:val="24"/>
          <w:szCs w:val="24"/>
        </w:rPr>
      </w:pPr>
      <w:r>
        <w:rPr>
          <w:rFonts w:hint="eastAsia" w:ascii="Times New Roman" w:hAnsi="Times New Roman"/>
          <w:sz w:val="24"/>
          <w:szCs w:val="24"/>
        </w:rPr>
        <w:t>产品碳足迹计算所采用的公式如下：</w:t>
      </w:r>
    </w:p>
    <w:p>
      <w:pPr>
        <w:spacing w:line="240" w:lineRule="atLeast"/>
        <w:ind w:firstLine="480" w:firstLineChars="200"/>
        <w:jc w:val="left"/>
        <w:rPr>
          <w:rFonts w:ascii="Times New Roman" w:hAnsi="Times New Roman"/>
          <w:sz w:val="24"/>
          <w:szCs w:val="24"/>
        </w:rPr>
      </w:pPr>
      <w:r>
        <w:rPr>
          <w:rFonts w:hint="eastAsia" w:ascii="Times New Roman" w:hAnsi="Times New Roman"/>
          <w:sz w:val="24"/>
          <w:szCs w:val="24"/>
        </w:rPr>
        <w:t>公式</w:t>
      </w:r>
      <w:r>
        <w:rPr>
          <w:rFonts w:ascii="Times New Roman" w:hAnsi="Times New Roman"/>
          <w:sz w:val="24"/>
          <w:szCs w:val="24"/>
        </w:rPr>
        <w:t>2</w:t>
      </w:r>
      <w:r>
        <w:rPr>
          <w:rFonts w:hint="eastAsia" w:ascii="Times New Roman" w:hAnsi="Times New Roman"/>
          <w:sz w:val="24"/>
          <w:szCs w:val="24"/>
        </w:rPr>
        <w:t>-1：</w:t>
      </w:r>
    </w:p>
    <w:p>
      <w:pPr>
        <w:spacing w:line="240" w:lineRule="atLeast"/>
        <w:ind w:firstLine="480" w:firstLineChars="200"/>
        <w:jc w:val="left"/>
        <w:rPr>
          <w:rFonts w:ascii="Times New Roman" w:hAnsi="Times New Roman"/>
          <w:sz w:val="24"/>
          <w:szCs w:val="24"/>
        </w:rPr>
      </w:pPr>
      <w:r>
        <w:rPr>
          <w:rFonts w:ascii="Times New Roman" w:hAnsi="Times New Roman"/>
          <w:sz w:val="24"/>
          <w:szCs w:val="24"/>
        </w:rPr>
        <w:t xml:space="preserve"> </w:t>
      </w:r>
      <m:oMath>
        <m:r>
          <m:rPr>
            <m:sty m:val="p"/>
          </m:rPr>
          <w:rPr>
            <w:rFonts w:ascii="Cambria Math" w:hAnsi="Cambria Math"/>
            <w:sz w:val="24"/>
            <w:szCs w:val="24"/>
          </w:rPr>
          <m:t>CF=</m:t>
        </m:r>
        <m:f>
          <m:fPr>
            <m:ctrlPr>
              <w:rPr>
                <w:rFonts w:ascii="Cambria Math" w:hAnsi="Cambria Math"/>
                <w:sz w:val="24"/>
                <w:szCs w:val="24"/>
              </w:rPr>
            </m:ctrlPr>
          </m:fPr>
          <m:num>
            <m:nary>
              <m:naryPr>
                <m:chr m:val="∑"/>
                <m:limLoc m:val="subSup"/>
                <m:ctrlPr>
                  <w:rPr>
                    <w:rFonts w:ascii="Cambria Math" w:hAnsi="Cambria Math"/>
                    <w:sz w:val="24"/>
                    <w:szCs w:val="24"/>
                  </w:rPr>
                </m:ctrlPr>
              </m:naryPr>
              <m:sub>
                <m:r>
                  <w:rPr>
                    <w:rFonts w:ascii="Cambria Math" w:hAnsi="Cambria Math"/>
                    <w:sz w:val="24"/>
                    <w:szCs w:val="24"/>
                  </w:rPr>
                  <m:t>i=1,j=1</m:t>
                </m:r>
                <m:ctrlPr>
                  <w:rPr>
                    <w:rFonts w:ascii="Cambria Math" w:hAnsi="Cambria Math"/>
                    <w:sz w:val="24"/>
                    <w:szCs w:val="24"/>
                  </w:rPr>
                </m:ctrlPr>
              </m:sub>
              <m:sup>
                <m:r>
                  <w:rPr>
                    <w:rFonts w:ascii="Cambria Math" w:hAnsi="Cambria Math"/>
                    <w:sz w:val="24"/>
                    <w:szCs w:val="24"/>
                  </w:rPr>
                  <m:t>n</m:t>
                </m:r>
                <m:ctrlPr>
                  <w:rPr>
                    <w:rFonts w:ascii="Cambria Math" w:hAnsi="Cambria Math"/>
                    <w:sz w:val="24"/>
                    <w:szCs w:val="24"/>
                  </w:rPr>
                </m:ctrlPr>
              </m:sup>
              <m:e>
                <m:sSub>
                  <m:sSubPr>
                    <m:ctrlPr>
                      <w:rPr>
                        <w:rFonts w:ascii="Cambria Math" w:hAnsi="Cambria Math"/>
                        <w:i/>
                        <w:sz w:val="24"/>
                        <w:szCs w:val="24"/>
                      </w:rPr>
                    </m:ctrlPr>
                  </m:sSubPr>
                  <m:e>
                    <m:r>
                      <w:rPr>
                        <w:rFonts w:ascii="Cambria Math" w:hAnsi="Cambria Math"/>
                        <w:sz w:val="24"/>
                        <w:szCs w:val="24"/>
                      </w:rPr>
                      <m:t>P</m:t>
                    </m:r>
                    <m:ctrlPr>
                      <w:rPr>
                        <w:rFonts w:ascii="Cambria Math" w:hAnsi="Cambria Math"/>
                        <w:i/>
                        <w:sz w:val="24"/>
                        <w:szCs w:val="24"/>
                      </w:rPr>
                    </m:ctrlPr>
                  </m:e>
                  <m:sub>
                    <m:r>
                      <w:rPr>
                        <w:rFonts w:ascii="Cambria Math" w:hAnsi="Cambria Math"/>
                        <w:sz w:val="24"/>
                        <w:szCs w:val="24"/>
                      </w:rPr>
                      <m:t>i</m:t>
                    </m:r>
                    <m:ctrlPr>
                      <w:rPr>
                        <w:rFonts w:ascii="Cambria Math" w:hAnsi="Cambria Math"/>
                        <w:i/>
                        <w:sz w:val="24"/>
                        <w:szCs w:val="24"/>
                      </w:rPr>
                    </m:ctrlP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Q</m:t>
                    </m:r>
                    <m:ctrlPr>
                      <w:rPr>
                        <w:rFonts w:ascii="Cambria Math" w:hAnsi="Cambria Math"/>
                        <w:i/>
                        <w:sz w:val="24"/>
                        <w:szCs w:val="24"/>
                      </w:rPr>
                    </m:ctrlPr>
                  </m:e>
                  <m:sub>
                    <m:r>
                      <w:rPr>
                        <w:rFonts w:ascii="Cambria Math" w:hAnsi="Cambria Math"/>
                        <w:sz w:val="24"/>
                        <w:szCs w:val="24"/>
                      </w:rPr>
                      <m:t>ij</m:t>
                    </m:r>
                    <m:ctrlPr>
                      <w:rPr>
                        <w:rFonts w:ascii="Cambria Math" w:hAnsi="Cambria Math"/>
                        <w:i/>
                        <w:sz w:val="24"/>
                        <w:szCs w:val="24"/>
                      </w:rPr>
                    </m:ctrlP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GWP</m:t>
                    </m:r>
                    <m:ctrlPr>
                      <w:rPr>
                        <w:rFonts w:ascii="Cambria Math" w:hAnsi="Cambria Math"/>
                        <w:i/>
                        <w:sz w:val="24"/>
                        <w:szCs w:val="24"/>
                      </w:rPr>
                    </m:ctrlPr>
                  </m:e>
                  <m:sub>
                    <m:r>
                      <w:rPr>
                        <w:rFonts w:ascii="Cambria Math" w:hAnsi="Cambria Math"/>
                        <w:sz w:val="24"/>
                        <w:szCs w:val="24"/>
                      </w:rPr>
                      <m:t>j</m:t>
                    </m:r>
                    <m:ctrlPr>
                      <w:rPr>
                        <w:rFonts w:ascii="Cambria Math" w:hAnsi="Cambria Math"/>
                        <w:i/>
                        <w:sz w:val="24"/>
                        <w:szCs w:val="24"/>
                      </w:rPr>
                    </m:ctrlPr>
                  </m:sub>
                </m:sSub>
                <m:ctrlPr>
                  <w:rPr>
                    <w:rFonts w:ascii="Cambria Math" w:hAnsi="Cambria Math"/>
                    <w:sz w:val="24"/>
                    <w:szCs w:val="24"/>
                  </w:rPr>
                </m:ctrlPr>
              </m:e>
            </m:nary>
            <m:ctrlPr>
              <w:rPr>
                <w:rFonts w:ascii="Cambria Math" w:hAnsi="Cambria Math"/>
                <w:sz w:val="24"/>
                <w:szCs w:val="24"/>
              </w:rPr>
            </m:ctrlPr>
          </m:num>
          <m:den>
            <m:r>
              <w:rPr>
                <w:rFonts w:ascii="Cambria Math" w:hAnsi="Cambria Math"/>
                <w:sz w:val="24"/>
                <w:szCs w:val="24"/>
              </w:rPr>
              <m:t>Y</m:t>
            </m:r>
            <m:ctrlPr>
              <w:rPr>
                <w:rFonts w:ascii="Cambria Math" w:hAnsi="Cambria Math"/>
                <w:sz w:val="24"/>
                <w:szCs w:val="24"/>
              </w:rPr>
            </m:ctrlPr>
          </m:den>
        </m:f>
      </m:oMath>
    </w:p>
    <w:p>
      <w:pPr>
        <w:spacing w:before="120" w:after="120" w:line="240" w:lineRule="atLeast"/>
        <w:ind w:firstLine="420"/>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 QUOTE </w:instrText>
      </w:r>
      <w:r>
        <w:rPr>
          <w:rFonts w:ascii="Times New Roman" w:hAnsi="Times New Roman"/>
          <w:sz w:val="24"/>
          <w:szCs w:val="24"/>
        </w:rPr>
        <w:drawing>
          <wp:inline distT="0" distB="0" distL="0" distR="0">
            <wp:extent cx="1010285" cy="233680"/>
            <wp:effectExtent l="0" t="0" r="5715" b="0"/>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010285" cy="233680"/>
                    </a:xfrm>
                    <a:prstGeom prst="rect">
                      <a:avLst/>
                    </a:prstGeom>
                    <a:noFill/>
                    <a:ln>
                      <a:noFill/>
                    </a:ln>
                  </pic:spPr>
                </pic:pic>
              </a:graphicData>
            </a:graphic>
          </wp:inline>
        </w:drawing>
      </w:r>
      <w:r>
        <w:rPr>
          <w:rFonts w:ascii="Times New Roman" w:hAnsi="Times New Roman"/>
          <w:sz w:val="24"/>
          <w:szCs w:val="24"/>
        </w:rPr>
        <w:fldChar w:fldCharType="end"/>
      </w:r>
      <w:r>
        <w:rPr>
          <w:rFonts w:ascii="Times New Roman" w:hAnsi="Times New Roman"/>
          <w:sz w:val="24"/>
          <w:szCs w:val="24"/>
        </w:rPr>
        <w:tab/>
      </w:r>
      <w:r>
        <w:rPr>
          <w:rFonts w:ascii="Times New Roman" w:hAnsi="Times New Roman"/>
          <w:sz w:val="24"/>
          <w:szCs w:val="24"/>
        </w:rPr>
        <w:tab/>
      </w:r>
      <w:r>
        <w:rPr>
          <w:rFonts w:hint="eastAsia" w:ascii="Times New Roman" w:hAnsi="Times New Roman"/>
          <w:sz w:val="24"/>
          <w:szCs w:val="24"/>
        </w:rPr>
        <w:t>式中，</w:t>
      </w:r>
    </w:p>
    <w:p>
      <w:pPr>
        <w:spacing w:line="400" w:lineRule="exact"/>
        <w:ind w:left="480"/>
        <w:jc w:val="left"/>
        <w:rPr>
          <w:rFonts w:ascii="Times New Roman" w:hAnsi="Times New Roman"/>
          <w:sz w:val="24"/>
          <w:szCs w:val="24"/>
        </w:rPr>
      </w:pP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91135" cy="201930"/>
            <wp:effectExtent l="0" t="0" r="0" b="1270"/>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91135" cy="201930"/>
                    </a:xfrm>
                    <a:prstGeom prst="rect">
                      <a:avLst/>
                    </a:prstGeom>
                    <a:noFill/>
                    <a:ln>
                      <a:noFill/>
                    </a:ln>
                  </pic:spPr>
                </pic:pic>
              </a:graphicData>
            </a:graphic>
          </wp:inline>
        </w:drawing>
      </w:r>
      <w:r>
        <w:rPr>
          <w:rFonts w:hint="eastAsia" w:ascii="Times New Roman" w:hAnsi="Times New Roman"/>
          <w:sz w:val="24"/>
          <w:szCs w:val="24"/>
        </w:rPr>
        <w:fldChar w:fldCharType="separate"/>
      </w:r>
      <w:r>
        <w:rPr>
          <w:rFonts w:ascii="Times New Roman" w:hAnsi="Times New Roman"/>
          <w:sz w:val="24"/>
          <w:szCs w:val="24"/>
        </w:rPr>
        <w:t>CF</w:t>
      </w:r>
      <w:r>
        <w:rPr>
          <w:rFonts w:hint="eastAsia" w:ascii="Times New Roman" w:hAnsi="Times New Roman"/>
          <w:sz w:val="24"/>
          <w:szCs w:val="24"/>
        </w:rPr>
        <w:fldChar w:fldCharType="end"/>
      </w:r>
      <w:r>
        <w:rPr>
          <w:rFonts w:hint="eastAsia" w:ascii="Times New Roman" w:hAnsi="Times New Roman"/>
          <w:sz w:val="24"/>
          <w:szCs w:val="24"/>
        </w:rPr>
        <w:t>是产品碳足迹，单位为吨当量二氧化碳/t尿素（teCO</w:t>
      </w:r>
      <w:r>
        <w:rPr>
          <w:rFonts w:hint="eastAsia" w:ascii="Times New Roman" w:hAnsi="Times New Roman"/>
          <w:sz w:val="24"/>
          <w:szCs w:val="24"/>
          <w:vertAlign w:val="subscript"/>
        </w:rPr>
        <w:t>2</w:t>
      </w:r>
      <w:r>
        <w:rPr>
          <w:rFonts w:ascii="Times New Roman" w:hAnsi="Times New Roman"/>
          <w:sz w:val="24"/>
          <w:szCs w:val="24"/>
        </w:rPr>
        <w:t>/t</w:t>
      </w:r>
      <w:r>
        <w:rPr>
          <w:rFonts w:hint="eastAsia" w:ascii="Times New Roman" w:hAnsi="Times New Roman"/>
          <w:sz w:val="24"/>
          <w:szCs w:val="24"/>
        </w:rPr>
        <w:t>）;</w:t>
      </w:r>
    </w:p>
    <w:p>
      <w:pPr>
        <w:spacing w:line="400" w:lineRule="exact"/>
        <w:ind w:left="420" w:firstLine="60" w:firstLineChars="25"/>
        <w:jc w:val="left"/>
        <w:rPr>
          <w:rFonts w:ascii="Times New Roman" w:hAnsi="Times New Roman"/>
          <w:sz w:val="24"/>
          <w:szCs w:val="24"/>
        </w:rPr>
      </w:pPr>
      <w:r>
        <w:rPr>
          <w:rFonts w:ascii="Times New Roman" w:hAnsi="Times New Roman"/>
          <w:sz w:val="24"/>
          <w:szCs w:val="24"/>
        </w:rPr>
        <w:t>P</w:t>
      </w:r>
      <w:r>
        <w:rPr>
          <w:rFonts w:ascii="Times New Roman" w:hAnsi="Times New Roman"/>
          <w:sz w:val="24"/>
          <w:szCs w:val="24"/>
          <w:vertAlign w:val="subscript"/>
        </w:rPr>
        <w:t>i</w:t>
      </w:r>
      <w:r>
        <w:rPr>
          <w:rFonts w:hint="eastAsia" w:ascii="Times New Roman" w:hAnsi="Times New Roman"/>
          <w:sz w:val="24"/>
          <w:szCs w:val="24"/>
        </w:rPr>
        <w:t>是使用第</w:t>
      </w: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38430" cy="201930"/>
            <wp:effectExtent l="0" t="0" r="0" b="1270"/>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38430" cy="201930"/>
                    </a:xfrm>
                    <a:prstGeom prst="rect">
                      <a:avLst/>
                    </a:prstGeom>
                    <a:noFill/>
                    <a:ln>
                      <a:noFill/>
                    </a:ln>
                  </pic:spPr>
                </pic:pic>
              </a:graphicData>
            </a:graphic>
          </wp:inline>
        </w:drawing>
      </w:r>
      <w:r>
        <w:rPr>
          <w:rFonts w:hint="eastAsia" w:ascii="Times New Roman" w:hAnsi="Times New Roman"/>
          <w:sz w:val="24"/>
          <w:szCs w:val="24"/>
        </w:rPr>
        <w:fldChar w:fldCharType="separate"/>
      </w:r>
      <w:r>
        <w:rPr>
          <w:rFonts w:hint="eastAsia" w:ascii="Times New Roman" w:hAnsi="Times New Roman"/>
          <w:sz w:val="24"/>
          <w:szCs w:val="24"/>
        </w:rPr>
        <w:t>i</w:t>
      </w:r>
      <w:r>
        <w:rPr>
          <w:rFonts w:hint="eastAsia" w:ascii="Times New Roman" w:hAnsi="Times New Roman"/>
          <w:sz w:val="24"/>
          <w:szCs w:val="24"/>
        </w:rPr>
        <w:fldChar w:fldCharType="end"/>
      </w:r>
      <w:r>
        <w:rPr>
          <w:rFonts w:hint="eastAsia" w:ascii="Times New Roman" w:hAnsi="Times New Roman"/>
          <w:sz w:val="24"/>
          <w:szCs w:val="24"/>
        </w:rPr>
        <w:t>种能源时的活动水平数据，单位为太焦（TJ）；</w:t>
      </w:r>
      <w:r>
        <w:rPr>
          <w:rFonts w:hint="eastAsia" w:ascii="Times New Roman" w:hAnsi="Times New Roman"/>
          <w:sz w:val="24"/>
          <w:szCs w:val="24"/>
        </w:rPr>
        <w:tab/>
      </w:r>
    </w:p>
    <w:p>
      <w:pPr>
        <w:spacing w:line="400" w:lineRule="exact"/>
        <w:ind w:left="420" w:firstLine="60" w:firstLineChars="25"/>
        <w:jc w:val="left"/>
        <w:rPr>
          <w:rFonts w:ascii="Times New Roman" w:hAnsi="Times New Roman"/>
          <w:sz w:val="24"/>
          <w:szCs w:val="24"/>
        </w:rPr>
      </w:pP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70180" cy="180975"/>
            <wp:effectExtent l="0" t="0" r="7620" b="0"/>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70180" cy="180975"/>
                    </a:xfrm>
                    <a:prstGeom prst="rect">
                      <a:avLst/>
                    </a:prstGeom>
                    <a:noFill/>
                    <a:ln>
                      <a:noFill/>
                    </a:ln>
                  </pic:spPr>
                </pic:pic>
              </a:graphicData>
            </a:graphic>
          </wp:inline>
        </w:drawing>
      </w:r>
      <w:r>
        <w:rPr>
          <w:rFonts w:hint="eastAsia" w:ascii="Times New Roman" w:hAnsi="Times New Roman"/>
          <w:sz w:val="24"/>
          <w:szCs w:val="24"/>
        </w:rPr>
        <w:fldChar w:fldCharType="separate"/>
      </w:r>
      <w:r>
        <w:rPr>
          <w:rFonts w:ascii="Times New Roman" w:hAnsi="Times New Roman"/>
          <w:sz w:val="24"/>
          <w:szCs w:val="24"/>
        </w:rPr>
        <w:t>Q</w:t>
      </w:r>
      <w:r>
        <w:rPr>
          <w:rFonts w:ascii="Times New Roman" w:hAnsi="Times New Roman"/>
          <w:sz w:val="24"/>
          <w:szCs w:val="24"/>
          <w:vertAlign w:val="subscript"/>
        </w:rPr>
        <w:t>ij</w:t>
      </w:r>
      <w:r>
        <w:rPr>
          <w:rFonts w:hint="eastAsia" w:ascii="Times New Roman" w:hAnsi="Times New Roman"/>
          <w:sz w:val="24"/>
          <w:szCs w:val="24"/>
        </w:rPr>
        <w:fldChar w:fldCharType="end"/>
      </w:r>
      <w:r>
        <w:rPr>
          <w:rFonts w:hint="eastAsia" w:ascii="Times New Roman" w:hAnsi="Times New Roman"/>
          <w:sz w:val="24"/>
          <w:szCs w:val="24"/>
        </w:rPr>
        <w:t>是第</w:t>
      </w: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38430" cy="201930"/>
            <wp:effectExtent l="0" t="0" r="0" b="1270"/>
            <wp:docPr id="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38430" cy="201930"/>
                    </a:xfrm>
                    <a:prstGeom prst="rect">
                      <a:avLst/>
                    </a:prstGeom>
                    <a:noFill/>
                    <a:ln>
                      <a:noFill/>
                    </a:ln>
                  </pic:spPr>
                </pic:pic>
              </a:graphicData>
            </a:graphic>
          </wp:inline>
        </w:drawing>
      </w:r>
      <w:r>
        <w:rPr>
          <w:rFonts w:hint="eastAsia" w:ascii="Times New Roman" w:hAnsi="Times New Roman"/>
          <w:sz w:val="24"/>
          <w:szCs w:val="24"/>
        </w:rPr>
        <w:fldChar w:fldCharType="separate"/>
      </w:r>
      <w:r>
        <w:rPr>
          <w:rFonts w:ascii="Times New Roman" w:hAnsi="Times New Roman"/>
          <w:sz w:val="24"/>
          <w:szCs w:val="24"/>
        </w:rPr>
        <w:t>i</w:t>
      </w:r>
      <w:r>
        <w:rPr>
          <w:rFonts w:hint="eastAsia" w:ascii="Times New Roman" w:hAnsi="Times New Roman"/>
          <w:sz w:val="24"/>
          <w:szCs w:val="24"/>
        </w:rPr>
        <w:fldChar w:fldCharType="end"/>
      </w:r>
      <w:r>
        <w:rPr>
          <w:rFonts w:hint="eastAsia" w:ascii="Times New Roman" w:hAnsi="Times New Roman"/>
          <w:sz w:val="24"/>
          <w:szCs w:val="24"/>
        </w:rPr>
        <w:t>种能源产生第j</w:t>
      </w:r>
      <w:r>
        <w:rPr>
          <w:rFonts w:ascii="Times New Roman" w:hAnsi="Times New Roman"/>
          <w:sz w:val="24"/>
          <w:szCs w:val="24"/>
        </w:rPr>
        <w:t>种温室气体时</w:t>
      </w:r>
      <w:r>
        <w:rPr>
          <w:rFonts w:hint="eastAsia" w:ascii="Times New Roman" w:hAnsi="Times New Roman"/>
          <w:sz w:val="24"/>
          <w:szCs w:val="24"/>
        </w:rPr>
        <w:t>的排放因子，单位为吨/太焦（t/TJ）</w:t>
      </w:r>
    </w:p>
    <w:p>
      <w:pPr>
        <w:spacing w:line="400" w:lineRule="exact"/>
        <w:ind w:left="420" w:firstLine="60" w:firstLineChars="25"/>
        <w:jc w:val="left"/>
        <w:rPr>
          <w:rFonts w:ascii="Times New Roman" w:hAnsi="Times New Roman"/>
          <w:sz w:val="24"/>
          <w:szCs w:val="24"/>
        </w:rPr>
      </w:pPr>
      <w:r>
        <w:rPr>
          <w:rFonts w:hint="eastAsia" w:ascii="Times New Roman" w:hAnsi="Times New Roman"/>
          <w:sz w:val="24"/>
          <w:szCs w:val="24"/>
        </w:rPr>
        <w:t>GWP</w:t>
      </w:r>
      <w:r>
        <w:rPr>
          <w:rFonts w:hint="eastAsia" w:ascii="Times New Roman" w:hAnsi="Times New Roman"/>
          <w:sz w:val="24"/>
          <w:szCs w:val="24"/>
          <w:vertAlign w:val="subscript"/>
        </w:rPr>
        <w:t>j</w:t>
      </w:r>
      <w:r>
        <w:rPr>
          <w:rFonts w:ascii="Times New Roman" w:hAnsi="Times New Roman"/>
          <w:sz w:val="24"/>
          <w:szCs w:val="24"/>
        </w:rPr>
        <w:t>是第j种温室气体的全球变暖潜势值，单位为吨当量二氧化碳</w:t>
      </w:r>
      <w:r>
        <w:rPr>
          <w:rFonts w:hint="eastAsia" w:ascii="Times New Roman" w:hAnsi="Times New Roman"/>
          <w:sz w:val="24"/>
          <w:szCs w:val="24"/>
        </w:rPr>
        <w:t>/吨（teCO</w:t>
      </w:r>
      <w:r>
        <w:rPr>
          <w:rFonts w:hint="eastAsia" w:ascii="Times New Roman" w:hAnsi="Times New Roman"/>
          <w:sz w:val="24"/>
          <w:szCs w:val="24"/>
          <w:vertAlign w:val="subscript"/>
        </w:rPr>
        <w:t>2</w:t>
      </w:r>
      <w:r>
        <w:rPr>
          <w:rFonts w:ascii="Times New Roman" w:hAnsi="Times New Roman"/>
          <w:sz w:val="24"/>
          <w:szCs w:val="24"/>
        </w:rPr>
        <w:t>/t</w:t>
      </w:r>
      <w:r>
        <w:rPr>
          <w:rFonts w:hint="eastAsia" w:ascii="Times New Roman" w:hAnsi="Times New Roman"/>
          <w:sz w:val="24"/>
          <w:szCs w:val="24"/>
        </w:rPr>
        <w:t>）</w:t>
      </w:r>
    </w:p>
    <w:p>
      <w:pPr>
        <w:spacing w:line="400" w:lineRule="exact"/>
        <w:ind w:firstLine="480" w:firstLineChars="200"/>
        <w:jc w:val="left"/>
        <w:rPr>
          <w:rFonts w:ascii="Times New Roman" w:hAnsi="Times New Roman"/>
          <w:sz w:val="24"/>
          <w:szCs w:val="24"/>
        </w:rPr>
      </w:pP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38430" cy="201930"/>
            <wp:effectExtent l="0" t="0" r="0" b="1270"/>
            <wp:docPr id="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38430" cy="201930"/>
                    </a:xfrm>
                    <a:prstGeom prst="rect">
                      <a:avLst/>
                    </a:prstGeom>
                    <a:noFill/>
                    <a:ln>
                      <a:noFill/>
                    </a:ln>
                  </pic:spPr>
                </pic:pic>
              </a:graphicData>
            </a:graphic>
          </wp:inline>
        </w:drawing>
      </w:r>
      <w:r>
        <w:rPr>
          <w:rFonts w:hint="eastAsia" w:ascii="Times New Roman" w:hAnsi="Times New Roman"/>
          <w:sz w:val="24"/>
          <w:szCs w:val="24"/>
        </w:rPr>
        <w:fldChar w:fldCharType="separate"/>
      </w:r>
      <w:r>
        <w:rPr>
          <w:rFonts w:ascii="Times New Roman" w:hAnsi="Times New Roman"/>
          <w:sz w:val="24"/>
          <w:szCs w:val="24"/>
        </w:rPr>
        <w:t>i</w:t>
      </w:r>
      <w:r>
        <w:rPr>
          <w:rFonts w:hint="eastAsia" w:ascii="Times New Roman" w:hAnsi="Times New Roman"/>
          <w:sz w:val="24"/>
          <w:szCs w:val="24"/>
        </w:rPr>
        <w:fldChar w:fldCharType="end"/>
      </w:r>
      <w:r>
        <w:rPr>
          <w:rFonts w:hint="eastAsia" w:ascii="Times New Roman" w:hAnsi="Times New Roman"/>
          <w:sz w:val="24"/>
          <w:szCs w:val="24"/>
        </w:rPr>
        <w:t>是能源类型；</w:t>
      </w:r>
    </w:p>
    <w:p>
      <w:pPr>
        <w:spacing w:line="400" w:lineRule="exact"/>
        <w:ind w:firstLine="480" w:firstLineChars="200"/>
        <w:jc w:val="left"/>
        <w:rPr>
          <w:rFonts w:ascii="Times New Roman" w:hAnsi="Times New Roman"/>
          <w:sz w:val="24"/>
          <w:szCs w:val="24"/>
        </w:rPr>
      </w:pPr>
      <w:r>
        <w:rPr>
          <w:rFonts w:hint="eastAsia" w:ascii="Times New Roman" w:hAnsi="Times New Roman"/>
          <w:sz w:val="24"/>
          <w:szCs w:val="24"/>
        </w:rPr>
        <w:fldChar w:fldCharType="begin"/>
      </w:r>
      <w:r>
        <w:rPr>
          <w:rFonts w:hint="eastAsia" w:ascii="Times New Roman" w:hAnsi="Times New Roman"/>
          <w:sz w:val="24"/>
          <w:szCs w:val="24"/>
        </w:rPr>
        <w:instrText xml:space="preserve"> QUOTE </w:instrText>
      </w:r>
      <w:r>
        <w:rPr>
          <w:rFonts w:hint="eastAsia" w:ascii="Times New Roman" w:hAnsi="Times New Roman"/>
          <w:sz w:val="24"/>
          <w:szCs w:val="24"/>
        </w:rPr>
        <w:drawing>
          <wp:inline distT="0" distB="0" distL="0" distR="0">
            <wp:extent cx="138430" cy="201930"/>
            <wp:effectExtent l="0" t="0" r="0" b="1270"/>
            <wp:docPr id="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38430" cy="201930"/>
                    </a:xfrm>
                    <a:prstGeom prst="rect">
                      <a:avLst/>
                    </a:prstGeom>
                    <a:noFill/>
                    <a:ln>
                      <a:noFill/>
                    </a:ln>
                  </pic:spPr>
                </pic:pic>
              </a:graphicData>
            </a:graphic>
          </wp:inline>
        </w:drawing>
      </w:r>
      <w:r>
        <w:rPr>
          <w:rFonts w:hint="eastAsia" w:ascii="Times New Roman" w:hAnsi="Times New Roman"/>
          <w:sz w:val="24"/>
          <w:szCs w:val="24"/>
        </w:rPr>
        <w:fldChar w:fldCharType="separate"/>
      </w:r>
      <w:r>
        <w:rPr>
          <w:rFonts w:ascii="Times New Roman" w:hAnsi="Times New Roman"/>
          <w:sz w:val="24"/>
          <w:szCs w:val="24"/>
        </w:rPr>
        <w:t>j</w:t>
      </w:r>
      <w:r>
        <w:rPr>
          <w:rFonts w:hint="eastAsia" w:ascii="Times New Roman" w:hAnsi="Times New Roman"/>
          <w:sz w:val="24"/>
          <w:szCs w:val="24"/>
        </w:rPr>
        <w:fldChar w:fldCharType="end"/>
      </w:r>
      <w:r>
        <w:rPr>
          <w:rFonts w:hint="eastAsia" w:ascii="Times New Roman" w:hAnsi="Times New Roman"/>
          <w:sz w:val="24"/>
          <w:szCs w:val="24"/>
        </w:rPr>
        <w:t>是温室气体类型。</w:t>
      </w:r>
    </w:p>
    <w:p>
      <w:pPr>
        <w:spacing w:line="400" w:lineRule="exact"/>
        <w:jc w:val="left"/>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Y是</w:t>
      </w:r>
      <w:r>
        <w:rPr>
          <w:rFonts w:hint="eastAsia" w:ascii="Times New Roman" w:hAnsi="Times New Roman"/>
          <w:sz w:val="24"/>
          <w:szCs w:val="24"/>
        </w:rPr>
        <w:t>尿素产品产量，t</w:t>
      </w:r>
    </w:p>
    <w:p>
      <w:pPr>
        <w:pStyle w:val="4"/>
        <w:spacing w:before="240" w:after="120" w:line="400" w:lineRule="exact"/>
        <w:jc w:val="left"/>
        <w:rPr>
          <w:rFonts w:ascii="Times New Roman" w:hAnsi="Times New Roman"/>
          <w:b w:val="0"/>
          <w:bCs w:val="0"/>
          <w:sz w:val="24"/>
          <w:szCs w:val="24"/>
        </w:rPr>
      </w:pPr>
      <w:bookmarkStart w:id="50" w:name="_Toc36765029"/>
      <w:r>
        <w:rPr>
          <w:rFonts w:ascii="Times New Roman" w:hAnsi="Times New Roman" w:eastAsia="黑体"/>
          <w:sz w:val="26"/>
          <w:szCs w:val="26"/>
        </w:rPr>
        <w:t>2</w:t>
      </w:r>
      <w:r>
        <w:rPr>
          <w:rFonts w:hint="eastAsia" w:ascii="Times New Roman" w:hAnsi="Times New Roman" w:eastAsia="黑体"/>
          <w:sz w:val="26"/>
          <w:szCs w:val="26"/>
        </w:rPr>
        <w:t>.</w:t>
      </w:r>
      <w:r>
        <w:rPr>
          <w:rFonts w:ascii="Times New Roman" w:hAnsi="Times New Roman" w:eastAsia="黑体"/>
          <w:sz w:val="26"/>
          <w:szCs w:val="26"/>
        </w:rPr>
        <w:t>3</w:t>
      </w:r>
      <w:r>
        <w:rPr>
          <w:rFonts w:hint="eastAsia" w:ascii="Times New Roman" w:hAnsi="Times New Roman" w:eastAsia="黑体"/>
          <w:sz w:val="26"/>
          <w:szCs w:val="26"/>
        </w:rPr>
        <w:t>.1</w:t>
      </w:r>
      <w:r>
        <w:rPr>
          <w:rFonts w:hint="eastAsia" w:ascii="Times New Roman" w:hAnsi="Times New Roman"/>
          <w:sz w:val="24"/>
          <w:szCs w:val="24"/>
        </w:rPr>
        <w:t xml:space="preserve"> 计算过程与结果</w:t>
      </w:r>
      <w:bookmarkEnd w:id="50"/>
    </w:p>
    <w:bookmarkEnd w:id="49"/>
    <w:p>
      <w:pPr>
        <w:spacing w:line="400" w:lineRule="exact"/>
        <w:jc w:val="left"/>
        <w:rPr>
          <w:rFonts w:ascii="Times New Roman" w:hAnsi="Times New Roman"/>
          <w:b/>
          <w:bCs/>
          <w:sz w:val="24"/>
          <w:szCs w:val="24"/>
        </w:rPr>
      </w:pPr>
      <w:r>
        <w:rPr>
          <w:rFonts w:ascii="Times New Roman" w:hAnsi="Times New Roman"/>
          <w:b/>
          <w:bCs/>
          <w:sz w:val="24"/>
          <w:szCs w:val="24"/>
        </w:rPr>
        <w:t>2.3.1.1</w:t>
      </w:r>
      <w:r>
        <w:rPr>
          <w:rFonts w:hint="eastAsia" w:ascii="Times New Roman" w:hAnsi="Times New Roman"/>
          <w:b/>
          <w:bCs/>
          <w:sz w:val="24"/>
          <w:szCs w:val="24"/>
        </w:rPr>
        <w:t>原材料收集阶段GHG排放</w:t>
      </w:r>
    </w:p>
    <w:p>
      <w:pPr>
        <w:spacing w:line="400" w:lineRule="exact"/>
        <w:ind w:firstLine="420"/>
        <w:rPr>
          <w:rFonts w:ascii="Times New Roman" w:hAnsi="Times New Roman"/>
          <w:sz w:val="24"/>
          <w:szCs w:val="24"/>
        </w:rPr>
      </w:pPr>
      <w:r>
        <w:rPr>
          <w:rFonts w:hint="eastAsia" w:ascii="Times New Roman" w:hAnsi="Times New Roman"/>
          <w:sz w:val="24"/>
          <w:szCs w:val="24"/>
        </w:rPr>
        <w:t>由于无法统计原材料运输过程产生排放量，产品的运输</w:t>
      </w:r>
      <w:r>
        <w:rPr>
          <w:rFonts w:ascii="Times New Roman" w:hAnsi="Times New Roman"/>
          <w:sz w:val="24"/>
          <w:szCs w:val="24"/>
        </w:rPr>
        <w:t>、</w:t>
      </w:r>
      <w:r>
        <w:rPr>
          <w:rFonts w:hint="eastAsia" w:ascii="Times New Roman" w:hAnsi="Times New Roman"/>
          <w:sz w:val="24"/>
          <w:szCs w:val="24"/>
        </w:rPr>
        <w:t>使用和使用后废弃物处理的</w:t>
      </w:r>
      <w:r>
        <w:rPr>
          <w:rFonts w:ascii="Times New Roman" w:hAnsi="Times New Roman"/>
          <w:sz w:val="24"/>
          <w:szCs w:val="24"/>
        </w:rPr>
        <w:t>排放量</w:t>
      </w:r>
      <w:r>
        <w:rPr>
          <w:rFonts w:hint="eastAsia" w:ascii="Times New Roman" w:hAnsi="Times New Roman"/>
          <w:sz w:val="24"/>
          <w:szCs w:val="24"/>
        </w:rPr>
        <w:t>，因此</w:t>
      </w:r>
      <w:r>
        <w:rPr>
          <w:rFonts w:ascii="Times New Roman" w:hAnsi="Times New Roman"/>
          <w:sz w:val="24"/>
          <w:szCs w:val="24"/>
        </w:rPr>
        <w:t>本次碳足迹盘查边界以</w:t>
      </w:r>
      <w:r>
        <w:rPr>
          <w:rFonts w:hint="eastAsia" w:ascii="Times New Roman" w:hAnsi="Times New Roman"/>
          <w:sz w:val="24"/>
          <w:szCs w:val="24"/>
        </w:rPr>
        <w:t>原煤等原材料入厂开始至</w:t>
      </w:r>
      <w:r>
        <w:rPr>
          <w:rFonts w:ascii="Times New Roman" w:hAnsi="Times New Roman"/>
          <w:sz w:val="24"/>
          <w:szCs w:val="24"/>
        </w:rPr>
        <w:t>尿素出厂为</w:t>
      </w:r>
      <w:r>
        <w:rPr>
          <w:rFonts w:hint="eastAsia" w:ascii="Times New Roman" w:hAnsi="Times New Roman"/>
          <w:sz w:val="24"/>
          <w:szCs w:val="24"/>
        </w:rPr>
        <w:t>止的</w:t>
      </w:r>
      <w:r>
        <w:rPr>
          <w:rFonts w:ascii="Times New Roman" w:hAnsi="Times New Roman"/>
          <w:sz w:val="24"/>
          <w:szCs w:val="24"/>
        </w:rPr>
        <w:t>生产</w:t>
      </w:r>
      <w:r>
        <w:rPr>
          <w:rFonts w:hint="eastAsia" w:ascii="Times New Roman" w:hAnsi="Times New Roman"/>
          <w:sz w:val="24"/>
          <w:szCs w:val="24"/>
        </w:rPr>
        <w:t>阶段。</w:t>
      </w:r>
    </w:p>
    <w:p>
      <w:pPr>
        <w:spacing w:line="400" w:lineRule="exact"/>
        <w:jc w:val="left"/>
        <w:rPr>
          <w:rFonts w:ascii="Times New Roman" w:hAnsi="Times New Roman"/>
          <w:b/>
          <w:bCs/>
          <w:sz w:val="24"/>
          <w:szCs w:val="24"/>
        </w:rPr>
      </w:pPr>
      <w:r>
        <w:rPr>
          <w:rFonts w:ascii="Times New Roman" w:hAnsi="Times New Roman"/>
          <w:b/>
          <w:bCs/>
          <w:sz w:val="24"/>
          <w:szCs w:val="24"/>
        </w:rPr>
        <w:t>2.3.1.2</w:t>
      </w:r>
      <w:r>
        <w:rPr>
          <w:rFonts w:hint="eastAsia" w:ascii="Times New Roman" w:hAnsi="Times New Roman"/>
          <w:b/>
          <w:bCs/>
          <w:sz w:val="24"/>
          <w:szCs w:val="24"/>
        </w:rPr>
        <w:t>原材料运输阶段</w:t>
      </w:r>
      <w:r>
        <w:rPr>
          <w:rFonts w:ascii="Times New Roman" w:hAnsi="Times New Roman"/>
          <w:b/>
          <w:bCs/>
          <w:sz w:val="24"/>
          <w:szCs w:val="24"/>
        </w:rPr>
        <w:t>GHG</w:t>
      </w:r>
      <w:r>
        <w:rPr>
          <w:rFonts w:hint="eastAsia" w:ascii="Times New Roman" w:hAnsi="Times New Roman"/>
          <w:b/>
          <w:bCs/>
          <w:sz w:val="24"/>
          <w:szCs w:val="24"/>
        </w:rPr>
        <w:t>排放</w:t>
      </w:r>
    </w:p>
    <w:p>
      <w:pPr>
        <w:spacing w:line="400" w:lineRule="exact"/>
        <w:ind w:firstLine="420"/>
        <w:rPr>
          <w:rFonts w:ascii="Times New Roman" w:hAnsi="Times New Roman"/>
          <w:sz w:val="24"/>
          <w:szCs w:val="24"/>
        </w:rPr>
      </w:pPr>
      <w:r>
        <w:rPr>
          <w:rFonts w:hint="eastAsia" w:ascii="Times New Roman" w:hAnsi="Times New Roman"/>
          <w:sz w:val="24"/>
          <w:szCs w:val="24"/>
        </w:rPr>
        <w:t>由于无法统计原材料运输过程产生排放量，产品的运输</w:t>
      </w:r>
      <w:r>
        <w:rPr>
          <w:rFonts w:ascii="Times New Roman" w:hAnsi="Times New Roman"/>
          <w:sz w:val="24"/>
          <w:szCs w:val="24"/>
        </w:rPr>
        <w:t>、</w:t>
      </w:r>
      <w:r>
        <w:rPr>
          <w:rFonts w:hint="eastAsia" w:ascii="Times New Roman" w:hAnsi="Times New Roman"/>
          <w:sz w:val="24"/>
          <w:szCs w:val="24"/>
        </w:rPr>
        <w:t>使用和使用后废弃物处理的</w:t>
      </w:r>
      <w:r>
        <w:rPr>
          <w:rFonts w:ascii="Times New Roman" w:hAnsi="Times New Roman"/>
          <w:sz w:val="24"/>
          <w:szCs w:val="24"/>
        </w:rPr>
        <w:t>排放量</w:t>
      </w:r>
      <w:r>
        <w:rPr>
          <w:rFonts w:hint="eastAsia" w:ascii="Times New Roman" w:hAnsi="Times New Roman"/>
          <w:sz w:val="24"/>
          <w:szCs w:val="24"/>
        </w:rPr>
        <w:t>，因此</w:t>
      </w:r>
      <w:r>
        <w:rPr>
          <w:rFonts w:ascii="Times New Roman" w:hAnsi="Times New Roman"/>
          <w:sz w:val="24"/>
          <w:szCs w:val="24"/>
        </w:rPr>
        <w:t>本次碳足迹盘查边界以</w:t>
      </w:r>
      <w:r>
        <w:rPr>
          <w:rFonts w:hint="eastAsia" w:ascii="Times New Roman" w:hAnsi="Times New Roman"/>
          <w:sz w:val="24"/>
          <w:szCs w:val="24"/>
        </w:rPr>
        <w:t>原煤等原材料入厂开始至</w:t>
      </w:r>
      <w:r>
        <w:rPr>
          <w:rFonts w:ascii="Times New Roman" w:hAnsi="Times New Roman"/>
          <w:sz w:val="24"/>
          <w:szCs w:val="24"/>
        </w:rPr>
        <w:t>尿素出厂为</w:t>
      </w:r>
      <w:r>
        <w:rPr>
          <w:rFonts w:hint="eastAsia" w:ascii="Times New Roman" w:hAnsi="Times New Roman"/>
          <w:sz w:val="24"/>
          <w:szCs w:val="24"/>
        </w:rPr>
        <w:t>止的</w:t>
      </w:r>
      <w:r>
        <w:rPr>
          <w:rFonts w:ascii="Times New Roman" w:hAnsi="Times New Roman"/>
          <w:sz w:val="24"/>
          <w:szCs w:val="24"/>
        </w:rPr>
        <w:t>生产</w:t>
      </w:r>
      <w:r>
        <w:rPr>
          <w:rFonts w:hint="eastAsia" w:ascii="Times New Roman" w:hAnsi="Times New Roman"/>
          <w:sz w:val="24"/>
          <w:szCs w:val="24"/>
        </w:rPr>
        <w:t>阶段。</w:t>
      </w:r>
    </w:p>
    <w:p>
      <w:pPr>
        <w:spacing w:line="400" w:lineRule="exact"/>
        <w:jc w:val="left"/>
        <w:rPr>
          <w:rFonts w:ascii="Times New Roman" w:hAnsi="Times New Roman"/>
          <w:b/>
          <w:bCs/>
          <w:sz w:val="24"/>
          <w:szCs w:val="24"/>
        </w:rPr>
      </w:pPr>
      <w:r>
        <w:rPr>
          <w:rFonts w:ascii="Times New Roman" w:hAnsi="Times New Roman"/>
          <w:b/>
          <w:bCs/>
          <w:sz w:val="24"/>
          <w:szCs w:val="24"/>
        </w:rPr>
        <w:t>2.3.1.2生产</w:t>
      </w:r>
      <w:r>
        <w:rPr>
          <w:rFonts w:hint="eastAsia" w:ascii="Times New Roman" w:hAnsi="Times New Roman"/>
          <w:b/>
          <w:bCs/>
          <w:sz w:val="24"/>
          <w:szCs w:val="24"/>
        </w:rPr>
        <w:t>阶段</w:t>
      </w:r>
      <w:r>
        <w:rPr>
          <w:rFonts w:ascii="Times New Roman" w:hAnsi="Times New Roman"/>
          <w:b/>
          <w:bCs/>
          <w:sz w:val="24"/>
          <w:szCs w:val="24"/>
        </w:rPr>
        <w:t>GHG</w:t>
      </w:r>
      <w:r>
        <w:rPr>
          <w:rFonts w:hint="eastAsia" w:ascii="Times New Roman" w:hAnsi="Times New Roman"/>
          <w:b/>
          <w:bCs/>
          <w:sz w:val="24"/>
          <w:szCs w:val="24"/>
        </w:rPr>
        <w:t>排放</w:t>
      </w:r>
    </w:p>
    <w:p>
      <w:pPr>
        <w:spacing w:line="400" w:lineRule="exact"/>
        <w:ind w:firstLine="420"/>
        <w:jc w:val="left"/>
        <w:rPr>
          <w:rFonts w:ascii="Times New Roman" w:hAnsi="Times New Roman"/>
          <w:sz w:val="24"/>
          <w:szCs w:val="24"/>
        </w:rPr>
      </w:pPr>
      <w:r>
        <w:rPr>
          <w:rFonts w:hint="eastAsia" w:ascii="Times New Roman" w:hAnsi="Times New Roman"/>
          <w:sz w:val="24"/>
          <w:szCs w:val="24"/>
        </w:rPr>
        <w:t>中盈生产基地生产阶段的碳排放主要为能源使用产生的排放和</w:t>
      </w:r>
      <w:r>
        <w:rPr>
          <w:rFonts w:ascii="Times New Roman" w:hAnsi="Times New Roman"/>
          <w:sz w:val="24"/>
          <w:szCs w:val="24"/>
        </w:rPr>
        <w:t>生产过程产生的排放</w:t>
      </w:r>
      <w:r>
        <w:rPr>
          <w:rFonts w:hint="eastAsia" w:ascii="Times New Roman" w:hAnsi="Times New Roman"/>
          <w:sz w:val="24"/>
          <w:szCs w:val="24"/>
        </w:rPr>
        <w:t>，相关计算过程可如下：</w:t>
      </w:r>
    </w:p>
    <w:p>
      <w:pPr>
        <w:spacing w:before="240" w:after="120"/>
        <w:jc w:val="center"/>
        <w:rPr>
          <w:rFonts w:ascii="Times New Roman" w:hAnsi="Times New Roman"/>
          <w:sz w:val="24"/>
          <w:szCs w:val="24"/>
        </w:rPr>
      </w:pPr>
      <w:r>
        <w:rPr>
          <w:rFonts w:hint="eastAsia" w:ascii="Times New Roman" w:hAnsi="Times New Roman"/>
          <w:sz w:val="24"/>
          <w:szCs w:val="24"/>
        </w:rPr>
        <w:t>表</w:t>
      </w:r>
      <w:r>
        <w:rPr>
          <w:rFonts w:ascii="Times New Roman" w:hAnsi="Times New Roman"/>
          <w:sz w:val="24"/>
          <w:szCs w:val="24"/>
        </w:rPr>
        <w:t>2-3-1-1</w:t>
      </w:r>
      <w:r>
        <w:rPr>
          <w:rFonts w:hint="eastAsia" w:ascii="Times New Roman" w:hAnsi="Times New Roman"/>
          <w:sz w:val="24"/>
          <w:szCs w:val="24"/>
        </w:rPr>
        <w:t xml:space="preserve">  化石燃料燃烧产生的二氧化碳直接排放</w:t>
      </w:r>
    </w:p>
    <w:tbl>
      <w:tblPr>
        <w:tblStyle w:val="25"/>
        <w:tblpPr w:leftFromText="180" w:rightFromText="180" w:vertAnchor="text" w:tblpY="228"/>
        <w:tblW w:w="5000" w:type="pct"/>
        <w:tblInd w:w="0" w:type="dxa"/>
        <w:tblLayout w:type="autofit"/>
        <w:tblCellMar>
          <w:top w:w="0" w:type="dxa"/>
          <w:left w:w="108" w:type="dxa"/>
          <w:bottom w:w="0" w:type="dxa"/>
          <w:right w:w="108" w:type="dxa"/>
        </w:tblCellMar>
      </w:tblPr>
      <w:tblGrid>
        <w:gridCol w:w="675"/>
        <w:gridCol w:w="685"/>
        <w:gridCol w:w="568"/>
        <w:gridCol w:w="958"/>
        <w:gridCol w:w="1113"/>
        <w:gridCol w:w="1261"/>
        <w:gridCol w:w="888"/>
        <w:gridCol w:w="2374"/>
      </w:tblGrid>
      <w:tr>
        <w:tblPrEx>
          <w:tblCellMar>
            <w:top w:w="0" w:type="dxa"/>
            <w:left w:w="108" w:type="dxa"/>
            <w:bottom w:w="0" w:type="dxa"/>
            <w:right w:w="108" w:type="dxa"/>
          </w:tblCellMar>
        </w:tblPrEx>
        <w:trPr>
          <w:trHeight w:val="540" w:hRule="atLeast"/>
        </w:trPr>
        <w:tc>
          <w:tcPr>
            <w:tcW w:w="396"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年度</w:t>
            </w:r>
          </w:p>
        </w:tc>
        <w:tc>
          <w:tcPr>
            <w:tcW w:w="735" w:type="pct"/>
            <w:gridSpan w:val="2"/>
            <w:vMerge w:val="restart"/>
            <w:tcBorders>
              <w:top w:val="single" w:color="auto" w:sz="8" w:space="0"/>
              <w:left w:val="single" w:color="auto" w:sz="8" w:space="0"/>
              <w:bottom w:val="single" w:color="000000" w:sz="8" w:space="0"/>
              <w:right w:val="single" w:color="000000"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能源品种</w:t>
            </w:r>
          </w:p>
        </w:tc>
        <w:tc>
          <w:tcPr>
            <w:tcW w:w="562" w:type="pct"/>
            <w:tcBorders>
              <w:top w:val="single" w:color="auto" w:sz="8" w:space="0"/>
              <w:left w:val="nil"/>
              <w:bottom w:val="nil"/>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消耗量</w:t>
            </w:r>
          </w:p>
        </w:tc>
        <w:tc>
          <w:tcPr>
            <w:tcW w:w="653" w:type="pct"/>
            <w:tcBorders>
              <w:top w:val="single" w:color="auto" w:sz="8" w:space="0"/>
              <w:left w:val="nil"/>
              <w:bottom w:val="nil"/>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低位发热值</w:t>
            </w:r>
          </w:p>
        </w:tc>
        <w:tc>
          <w:tcPr>
            <w:tcW w:w="740" w:type="pct"/>
            <w:tcBorders>
              <w:top w:val="single" w:color="auto" w:sz="8" w:space="0"/>
              <w:left w:val="nil"/>
              <w:bottom w:val="nil"/>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单位热值含碳量</w:t>
            </w:r>
          </w:p>
        </w:tc>
        <w:tc>
          <w:tcPr>
            <w:tcW w:w="521" w:type="pct"/>
            <w:tcBorders>
              <w:top w:val="single" w:color="auto" w:sz="8" w:space="0"/>
              <w:left w:val="nil"/>
              <w:bottom w:val="nil"/>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碳氧化率</w:t>
            </w:r>
          </w:p>
        </w:tc>
        <w:tc>
          <w:tcPr>
            <w:tcW w:w="1394" w:type="pct"/>
            <w:tcBorders>
              <w:top w:val="single" w:color="auto" w:sz="8" w:space="0"/>
              <w:left w:val="nil"/>
              <w:bottom w:val="nil"/>
              <w:right w:val="single" w:color="auto" w:sz="8" w:space="0"/>
            </w:tcBorders>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直接排放量</w:t>
            </w:r>
          </w:p>
        </w:tc>
      </w:tr>
      <w:tr>
        <w:tblPrEx>
          <w:tblCellMar>
            <w:top w:w="0" w:type="dxa"/>
            <w:left w:w="108" w:type="dxa"/>
            <w:bottom w:w="0" w:type="dxa"/>
            <w:right w:w="108" w:type="dxa"/>
          </w:tblCellMar>
        </w:tblPrEx>
        <w:trPr>
          <w:trHeight w:val="1155" w:hRule="atLeast"/>
        </w:trPr>
        <w:tc>
          <w:tcPr>
            <w:tcW w:w="396" w:type="pct"/>
            <w:vMerge w:val="continue"/>
            <w:tcBorders>
              <w:top w:val="single" w:color="auto" w:sz="8" w:space="0"/>
              <w:left w:val="single" w:color="auto" w:sz="8" w:space="0"/>
              <w:bottom w:val="single" w:color="000000" w:sz="8" w:space="0"/>
              <w:right w:val="single" w:color="auto" w:sz="8" w:space="0"/>
            </w:tcBorders>
            <w:vAlign w:val="center"/>
          </w:tcPr>
          <w:p>
            <w:pPr>
              <w:widowControl/>
              <w:jc w:val="left"/>
              <w:rPr>
                <w:rFonts w:ascii="宋体" w:hAnsi="宋体" w:cs="宋体"/>
                <w:b/>
                <w:bCs/>
                <w:color w:val="000000"/>
                <w:kern w:val="0"/>
                <w:sz w:val="22"/>
              </w:rPr>
            </w:pPr>
          </w:p>
        </w:tc>
        <w:tc>
          <w:tcPr>
            <w:tcW w:w="735" w:type="pct"/>
            <w:gridSpan w:val="2"/>
            <w:vMerge w:val="continue"/>
            <w:tcBorders>
              <w:top w:val="single" w:color="auto" w:sz="8" w:space="0"/>
              <w:left w:val="single" w:color="auto" w:sz="8" w:space="0"/>
              <w:bottom w:val="single" w:color="000000" w:sz="8" w:space="0"/>
              <w:right w:val="single" w:color="000000" w:sz="8" w:space="0"/>
            </w:tcBorders>
            <w:vAlign w:val="center"/>
          </w:tcPr>
          <w:p>
            <w:pPr>
              <w:widowControl/>
              <w:jc w:val="left"/>
              <w:rPr>
                <w:rFonts w:ascii="宋体" w:hAnsi="宋体" w:cs="宋体"/>
                <w:b/>
                <w:bCs/>
                <w:color w:val="000000"/>
                <w:kern w:val="0"/>
                <w:sz w:val="22"/>
              </w:rPr>
            </w:pP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A</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B</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C</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D</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E=A*B*C*D*</w:t>
            </w:r>
            <w:r>
              <w:rPr>
                <w:rFonts w:hint="eastAsia" w:ascii="宋体" w:hAnsi="宋体"/>
                <w:b/>
                <w:bCs/>
                <w:color w:val="000000"/>
                <w:kern w:val="0"/>
                <w:sz w:val="22"/>
              </w:rPr>
              <w:t>（</w:t>
            </w:r>
            <w:r>
              <w:rPr>
                <w:rFonts w:ascii="Times New Roman" w:hAnsi="Times New Roman"/>
                <w:b/>
                <w:bCs/>
                <w:color w:val="000000"/>
                <w:kern w:val="0"/>
                <w:sz w:val="22"/>
              </w:rPr>
              <w:t>44/12</w:t>
            </w:r>
            <w:r>
              <w:rPr>
                <w:rFonts w:hint="eastAsia" w:ascii="宋体" w:hAnsi="宋体"/>
                <w:b/>
                <w:bCs/>
                <w:color w:val="000000"/>
                <w:kern w:val="0"/>
                <w:sz w:val="22"/>
              </w:rPr>
              <w:t>）</w:t>
            </w:r>
            <w:r>
              <w:rPr>
                <w:rFonts w:ascii="Times New Roman" w:hAnsi="Times New Roman"/>
                <w:b/>
                <w:bCs/>
                <w:color w:val="000000"/>
                <w:kern w:val="0"/>
                <w:sz w:val="22"/>
              </w:rPr>
              <w:t>/1000</w:t>
            </w:r>
          </w:p>
        </w:tc>
      </w:tr>
      <w:tr>
        <w:tblPrEx>
          <w:tblCellMar>
            <w:top w:w="0" w:type="dxa"/>
            <w:left w:w="108" w:type="dxa"/>
            <w:bottom w:w="0" w:type="dxa"/>
            <w:right w:w="108" w:type="dxa"/>
          </w:tblCellMar>
        </w:tblPrEx>
        <w:trPr>
          <w:trHeight w:val="375" w:hRule="atLeast"/>
        </w:trPr>
        <w:tc>
          <w:tcPr>
            <w:tcW w:w="396" w:type="pct"/>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2019</w:t>
            </w:r>
          </w:p>
        </w:tc>
        <w:tc>
          <w:tcPr>
            <w:tcW w:w="402" w:type="pct"/>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天然气</w:t>
            </w: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单位</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万</w:t>
            </w:r>
            <w:r>
              <w:rPr>
                <w:rFonts w:ascii="Times New Roman" w:hAnsi="Times New Roman"/>
                <w:color w:val="000000"/>
                <w:kern w:val="0"/>
                <w:sz w:val="22"/>
              </w:rPr>
              <w:t>Nm</w:t>
            </w:r>
            <w:r>
              <w:rPr>
                <w:rFonts w:hint="eastAsia" w:ascii="宋体" w:hAnsi="宋体" w:cs="宋体"/>
                <w:color w:val="000000"/>
                <w:kern w:val="0"/>
                <w:sz w:val="22"/>
              </w:rPr>
              <w:t>³</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GJ/</w:t>
            </w:r>
            <w:r>
              <w:rPr>
                <w:rFonts w:hint="eastAsia" w:ascii="宋体" w:hAnsi="宋体"/>
                <w:color w:val="000000"/>
                <w:kern w:val="0"/>
                <w:sz w:val="22"/>
              </w:rPr>
              <w:t>万</w:t>
            </w:r>
            <w:r>
              <w:rPr>
                <w:rFonts w:ascii="Times New Roman" w:hAnsi="Times New Roman"/>
                <w:color w:val="000000"/>
                <w:kern w:val="0"/>
                <w:sz w:val="22"/>
              </w:rPr>
              <w:t>Nm</w:t>
            </w:r>
            <w:r>
              <w:rPr>
                <w:rFonts w:ascii="Times New Roman" w:hAnsi="Times New Roman"/>
                <w:color w:val="000000"/>
                <w:kern w:val="0"/>
                <w:sz w:val="22"/>
                <w:vertAlign w:val="superscript"/>
              </w:rPr>
              <w:t>3</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tC/tJ</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CellMar>
            <w:top w:w="0" w:type="dxa"/>
            <w:left w:w="108" w:type="dxa"/>
            <w:bottom w:w="0" w:type="dxa"/>
            <w:right w:w="108" w:type="dxa"/>
          </w:tblCellMar>
        </w:tblPrEx>
        <w:trPr>
          <w:trHeight w:val="315" w:hRule="atLeast"/>
        </w:trPr>
        <w:tc>
          <w:tcPr>
            <w:tcW w:w="396" w:type="pct"/>
            <w:vMerge w:val="continue"/>
            <w:tcBorders>
              <w:top w:val="nil"/>
              <w:left w:val="single" w:color="auto" w:sz="8" w:space="0"/>
              <w:bottom w:val="single" w:color="000000" w:sz="8" w:space="0"/>
              <w:right w:val="single" w:color="auto" w:sz="8" w:space="0"/>
            </w:tcBorders>
            <w:vAlign w:val="center"/>
          </w:tcPr>
          <w:p>
            <w:pPr>
              <w:widowControl/>
              <w:jc w:val="left"/>
              <w:rPr>
                <w:rFonts w:ascii="Times New Roman" w:hAnsi="Times New Roman"/>
                <w:color w:val="000000"/>
                <w:kern w:val="0"/>
                <w:sz w:val="22"/>
              </w:rPr>
            </w:pPr>
          </w:p>
        </w:tc>
        <w:tc>
          <w:tcPr>
            <w:tcW w:w="402" w:type="pct"/>
            <w:vMerge w:val="continue"/>
            <w:tcBorders>
              <w:top w:val="nil"/>
              <w:left w:val="single" w:color="auto" w:sz="8" w:space="0"/>
              <w:bottom w:val="single" w:color="000000" w:sz="8" w:space="0"/>
              <w:right w:val="single" w:color="auto" w:sz="8" w:space="0"/>
            </w:tcBorders>
            <w:vAlign w:val="center"/>
          </w:tcPr>
          <w:p>
            <w:pPr>
              <w:widowControl/>
              <w:jc w:val="left"/>
              <w:rPr>
                <w:rFonts w:ascii="宋体" w:hAnsi="宋体" w:cs="宋体"/>
                <w:color w:val="000000"/>
                <w:kern w:val="0"/>
                <w:sz w:val="22"/>
              </w:rPr>
            </w:pP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数值</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25.5306</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389.31</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15.3</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0.99</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 xml:space="preserve">552.02 </w:t>
            </w:r>
          </w:p>
        </w:tc>
      </w:tr>
      <w:tr>
        <w:tblPrEx>
          <w:tblCellMar>
            <w:top w:w="0" w:type="dxa"/>
            <w:left w:w="108" w:type="dxa"/>
            <w:bottom w:w="0" w:type="dxa"/>
            <w:right w:w="108" w:type="dxa"/>
          </w:tblCellMar>
        </w:tblPrEx>
        <w:trPr>
          <w:trHeight w:val="345" w:hRule="atLeast"/>
        </w:trPr>
        <w:tc>
          <w:tcPr>
            <w:tcW w:w="396" w:type="pct"/>
            <w:vMerge w:val="continue"/>
            <w:tcBorders>
              <w:top w:val="nil"/>
              <w:left w:val="single" w:color="auto" w:sz="8" w:space="0"/>
              <w:bottom w:val="single" w:color="000000" w:sz="8" w:space="0"/>
              <w:right w:val="single" w:color="auto" w:sz="8" w:space="0"/>
            </w:tcBorders>
            <w:vAlign w:val="center"/>
          </w:tcPr>
          <w:p>
            <w:pPr>
              <w:widowControl/>
              <w:jc w:val="left"/>
              <w:rPr>
                <w:rFonts w:ascii="Times New Roman" w:hAnsi="Times New Roman"/>
                <w:color w:val="000000"/>
                <w:kern w:val="0"/>
                <w:sz w:val="22"/>
              </w:rPr>
            </w:pPr>
          </w:p>
        </w:tc>
        <w:tc>
          <w:tcPr>
            <w:tcW w:w="402" w:type="pct"/>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柴油</w:t>
            </w: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单位</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GJ/t</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tC/tJ</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CellMar>
            <w:top w:w="0" w:type="dxa"/>
            <w:left w:w="108" w:type="dxa"/>
            <w:bottom w:w="0" w:type="dxa"/>
            <w:right w:w="108" w:type="dxa"/>
          </w:tblCellMar>
        </w:tblPrEx>
        <w:trPr>
          <w:trHeight w:val="315" w:hRule="atLeast"/>
        </w:trPr>
        <w:tc>
          <w:tcPr>
            <w:tcW w:w="396" w:type="pct"/>
            <w:vMerge w:val="continue"/>
            <w:tcBorders>
              <w:top w:val="nil"/>
              <w:left w:val="single" w:color="auto" w:sz="8" w:space="0"/>
              <w:bottom w:val="single" w:color="000000" w:sz="8" w:space="0"/>
              <w:right w:val="single" w:color="auto" w:sz="8" w:space="0"/>
            </w:tcBorders>
            <w:vAlign w:val="center"/>
          </w:tcPr>
          <w:p>
            <w:pPr>
              <w:widowControl/>
              <w:jc w:val="left"/>
              <w:rPr>
                <w:rFonts w:ascii="Times New Roman" w:hAnsi="Times New Roman"/>
                <w:color w:val="000000"/>
                <w:kern w:val="0"/>
                <w:sz w:val="22"/>
              </w:rPr>
            </w:pPr>
          </w:p>
        </w:tc>
        <w:tc>
          <w:tcPr>
            <w:tcW w:w="402" w:type="pct"/>
            <w:vMerge w:val="continue"/>
            <w:tcBorders>
              <w:top w:val="nil"/>
              <w:left w:val="single" w:color="auto" w:sz="8" w:space="0"/>
              <w:bottom w:val="single" w:color="000000" w:sz="8" w:space="0"/>
              <w:right w:val="single" w:color="auto" w:sz="8" w:space="0"/>
            </w:tcBorders>
            <w:vAlign w:val="center"/>
          </w:tcPr>
          <w:p>
            <w:pPr>
              <w:widowControl/>
              <w:jc w:val="left"/>
              <w:rPr>
                <w:rFonts w:ascii="宋体" w:hAnsi="宋体" w:cs="宋体"/>
                <w:color w:val="000000"/>
                <w:kern w:val="0"/>
                <w:sz w:val="22"/>
              </w:rPr>
            </w:pP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数值</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26.325</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43.33</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20.2</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0.98</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 xml:space="preserve">82.80 </w:t>
            </w:r>
          </w:p>
        </w:tc>
      </w:tr>
      <w:tr>
        <w:tblPrEx>
          <w:tblCellMar>
            <w:top w:w="0" w:type="dxa"/>
            <w:left w:w="108" w:type="dxa"/>
            <w:bottom w:w="0" w:type="dxa"/>
            <w:right w:w="108" w:type="dxa"/>
          </w:tblCellMar>
        </w:tblPrEx>
        <w:trPr>
          <w:trHeight w:val="345" w:hRule="atLeast"/>
        </w:trPr>
        <w:tc>
          <w:tcPr>
            <w:tcW w:w="396" w:type="pct"/>
            <w:vMerge w:val="continue"/>
            <w:tcBorders>
              <w:top w:val="nil"/>
              <w:left w:val="single" w:color="auto" w:sz="8" w:space="0"/>
              <w:bottom w:val="single" w:color="000000" w:sz="8" w:space="0"/>
              <w:right w:val="single" w:color="auto" w:sz="8" w:space="0"/>
            </w:tcBorders>
            <w:vAlign w:val="center"/>
          </w:tcPr>
          <w:p>
            <w:pPr>
              <w:widowControl/>
              <w:jc w:val="left"/>
              <w:rPr>
                <w:rFonts w:ascii="Times New Roman" w:hAnsi="Times New Roman"/>
                <w:color w:val="000000"/>
                <w:kern w:val="0"/>
                <w:sz w:val="22"/>
              </w:rPr>
            </w:pPr>
          </w:p>
        </w:tc>
        <w:tc>
          <w:tcPr>
            <w:tcW w:w="402" w:type="pct"/>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汽油</w:t>
            </w: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单位</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GJ/t</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tC/tJ</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CellMar>
            <w:top w:w="0" w:type="dxa"/>
            <w:left w:w="108" w:type="dxa"/>
            <w:bottom w:w="0" w:type="dxa"/>
            <w:right w:w="108" w:type="dxa"/>
          </w:tblCellMar>
        </w:tblPrEx>
        <w:trPr>
          <w:trHeight w:val="315" w:hRule="atLeast"/>
        </w:trPr>
        <w:tc>
          <w:tcPr>
            <w:tcW w:w="396" w:type="pct"/>
            <w:vMerge w:val="continue"/>
            <w:tcBorders>
              <w:top w:val="nil"/>
              <w:left w:val="single" w:color="auto" w:sz="8" w:space="0"/>
              <w:bottom w:val="single" w:color="000000" w:sz="8" w:space="0"/>
              <w:right w:val="single" w:color="auto" w:sz="8" w:space="0"/>
            </w:tcBorders>
            <w:vAlign w:val="center"/>
          </w:tcPr>
          <w:p>
            <w:pPr>
              <w:widowControl/>
              <w:jc w:val="left"/>
              <w:rPr>
                <w:rFonts w:ascii="Times New Roman" w:hAnsi="Times New Roman"/>
                <w:color w:val="000000"/>
                <w:kern w:val="0"/>
                <w:sz w:val="22"/>
              </w:rPr>
            </w:pPr>
          </w:p>
        </w:tc>
        <w:tc>
          <w:tcPr>
            <w:tcW w:w="402" w:type="pct"/>
            <w:vMerge w:val="continue"/>
            <w:tcBorders>
              <w:top w:val="nil"/>
              <w:left w:val="single" w:color="auto" w:sz="8" w:space="0"/>
              <w:bottom w:val="single" w:color="000000" w:sz="8" w:space="0"/>
              <w:right w:val="single" w:color="auto" w:sz="8" w:space="0"/>
            </w:tcBorders>
            <w:vAlign w:val="center"/>
          </w:tcPr>
          <w:p>
            <w:pPr>
              <w:widowControl/>
              <w:jc w:val="left"/>
              <w:rPr>
                <w:rFonts w:ascii="宋体" w:hAnsi="宋体" w:cs="宋体"/>
                <w:color w:val="000000"/>
                <w:kern w:val="0"/>
                <w:sz w:val="22"/>
              </w:rPr>
            </w:pPr>
          </w:p>
        </w:tc>
        <w:tc>
          <w:tcPr>
            <w:tcW w:w="332" w:type="pct"/>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数值</w:t>
            </w:r>
          </w:p>
        </w:tc>
        <w:tc>
          <w:tcPr>
            <w:tcW w:w="562"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31.592</w:t>
            </w:r>
          </w:p>
        </w:tc>
        <w:tc>
          <w:tcPr>
            <w:tcW w:w="653"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44.8</w:t>
            </w:r>
          </w:p>
        </w:tc>
        <w:tc>
          <w:tcPr>
            <w:tcW w:w="740"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18.9</w:t>
            </w:r>
          </w:p>
        </w:tc>
        <w:tc>
          <w:tcPr>
            <w:tcW w:w="521"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0.98</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 xml:space="preserve">96.12 </w:t>
            </w:r>
          </w:p>
        </w:tc>
      </w:tr>
      <w:tr>
        <w:tblPrEx>
          <w:tblCellMar>
            <w:top w:w="0" w:type="dxa"/>
            <w:left w:w="108" w:type="dxa"/>
            <w:bottom w:w="0" w:type="dxa"/>
            <w:right w:w="108" w:type="dxa"/>
          </w:tblCellMar>
        </w:tblPrEx>
        <w:trPr>
          <w:trHeight w:val="315" w:hRule="atLeast"/>
        </w:trPr>
        <w:tc>
          <w:tcPr>
            <w:tcW w:w="3606" w:type="pct"/>
            <w:gridSpan w:val="7"/>
            <w:tcBorders>
              <w:top w:val="single" w:color="auto" w:sz="8" w:space="0"/>
              <w:left w:val="single" w:color="auto" w:sz="8" w:space="0"/>
              <w:bottom w:val="single" w:color="auto" w:sz="8" w:space="0"/>
              <w:right w:val="single" w:color="000000" w:sz="8" w:space="0"/>
            </w:tcBorders>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合计</w:t>
            </w:r>
          </w:p>
        </w:tc>
        <w:tc>
          <w:tcPr>
            <w:tcW w:w="1394" w:type="pct"/>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730.94</w:t>
            </w:r>
          </w:p>
        </w:tc>
      </w:tr>
    </w:tbl>
    <w:p>
      <w:pPr>
        <w:spacing w:after="156" w:afterLines="50"/>
        <w:rPr>
          <w:rFonts w:ascii="Times New Roman" w:hAnsi="Times New Roman" w:eastAsia="仿宋_GB2312"/>
          <w:sz w:val="24"/>
          <w:szCs w:val="24"/>
        </w:rPr>
      </w:pPr>
    </w:p>
    <w:p>
      <w:pPr>
        <w:spacing w:before="240" w:after="120"/>
        <w:jc w:val="center"/>
        <w:rPr>
          <w:rFonts w:ascii="Times New Roman" w:hAnsi="Times New Roman"/>
          <w:sz w:val="24"/>
          <w:szCs w:val="24"/>
        </w:rPr>
      </w:pPr>
      <w:r>
        <w:rPr>
          <w:rFonts w:hint="eastAsia" w:ascii="Times New Roman" w:hAnsi="Times New Roman"/>
          <w:sz w:val="24"/>
          <w:szCs w:val="24"/>
        </w:rPr>
        <w:t>表</w:t>
      </w:r>
      <w:r>
        <w:rPr>
          <w:rFonts w:ascii="Times New Roman" w:hAnsi="Times New Roman"/>
          <w:sz w:val="24"/>
          <w:szCs w:val="24"/>
        </w:rPr>
        <w:t>2-3-1-2</w:t>
      </w:r>
      <w:r>
        <w:rPr>
          <w:rFonts w:hint="eastAsia" w:ascii="Times New Roman" w:hAnsi="Times New Roman"/>
          <w:sz w:val="24"/>
          <w:szCs w:val="24"/>
        </w:rPr>
        <w:t xml:space="preserve">  工业生产</w:t>
      </w:r>
      <w:r>
        <w:rPr>
          <w:rFonts w:ascii="Times New Roman" w:hAnsi="Times New Roman"/>
          <w:sz w:val="24"/>
          <w:szCs w:val="24"/>
        </w:rPr>
        <w:t>产生的</w:t>
      </w:r>
      <w:r>
        <w:rPr>
          <w:rFonts w:hint="eastAsia" w:ascii="Times New Roman" w:hAnsi="Times New Roman"/>
          <w:sz w:val="24"/>
          <w:szCs w:val="24"/>
        </w:rPr>
        <w:t>直接排放</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
        <w:gridCol w:w="837"/>
        <w:gridCol w:w="722"/>
        <w:gridCol w:w="1025"/>
        <w:gridCol w:w="1153"/>
        <w:gridCol w:w="1534"/>
        <w:gridCol w:w="2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416" w:type="dxa"/>
            <w:vMerge w:val="restart"/>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年度</w:t>
            </w:r>
          </w:p>
        </w:tc>
        <w:tc>
          <w:tcPr>
            <w:tcW w:w="1559" w:type="dxa"/>
            <w:gridSpan w:val="2"/>
            <w:vMerge w:val="restart"/>
            <w:shd w:val="clear" w:color="auto" w:fill="auto"/>
            <w:vAlign w:val="center"/>
          </w:tcPr>
          <w:p>
            <w:pPr>
              <w:widowControl/>
              <w:jc w:val="center"/>
              <w:rPr>
                <w:rFonts w:hint="eastAsia" w:ascii="宋体" w:hAnsi="宋体" w:cs="宋体"/>
                <w:b/>
                <w:bCs/>
                <w:color w:val="000000"/>
                <w:kern w:val="0"/>
                <w:sz w:val="22"/>
              </w:rPr>
            </w:pPr>
            <w:r>
              <w:rPr>
                <w:rFonts w:hint="eastAsia" w:ascii="宋体" w:hAnsi="宋体" w:cs="宋体"/>
                <w:b/>
                <w:bCs/>
                <w:color w:val="000000"/>
                <w:kern w:val="0"/>
                <w:sz w:val="22"/>
              </w:rPr>
              <w:t>能源品种</w:t>
            </w:r>
          </w:p>
        </w:tc>
        <w:tc>
          <w:tcPr>
            <w:tcW w:w="1025" w:type="dxa"/>
            <w:shd w:val="clear" w:color="auto" w:fill="auto"/>
            <w:vAlign w:val="center"/>
          </w:tcPr>
          <w:p>
            <w:pPr>
              <w:widowControl/>
              <w:jc w:val="center"/>
              <w:rPr>
                <w:rFonts w:hint="eastAsia" w:ascii="宋体" w:hAnsi="宋体" w:cs="宋体"/>
                <w:b/>
                <w:bCs/>
                <w:color w:val="000000"/>
                <w:kern w:val="0"/>
                <w:sz w:val="22"/>
              </w:rPr>
            </w:pPr>
            <w:r>
              <w:rPr>
                <w:rFonts w:hint="eastAsia" w:ascii="宋体" w:hAnsi="宋体" w:cs="宋体"/>
                <w:b/>
                <w:bCs/>
                <w:color w:val="000000"/>
                <w:kern w:val="0"/>
                <w:sz w:val="22"/>
              </w:rPr>
              <w:t>消耗量</w:t>
            </w:r>
          </w:p>
        </w:tc>
        <w:tc>
          <w:tcPr>
            <w:tcW w:w="1153" w:type="dxa"/>
            <w:shd w:val="clear" w:color="auto" w:fill="auto"/>
            <w:vAlign w:val="center"/>
          </w:tcPr>
          <w:p>
            <w:pPr>
              <w:widowControl/>
              <w:jc w:val="center"/>
              <w:rPr>
                <w:rFonts w:hint="eastAsia" w:ascii="宋体" w:hAnsi="宋体" w:cs="宋体"/>
                <w:b/>
                <w:bCs/>
                <w:color w:val="000000"/>
                <w:kern w:val="0"/>
                <w:sz w:val="22"/>
              </w:rPr>
            </w:pPr>
            <w:r>
              <w:rPr>
                <w:rFonts w:hint="eastAsia" w:ascii="宋体" w:hAnsi="宋体" w:cs="宋体"/>
                <w:b/>
                <w:bCs/>
                <w:color w:val="000000"/>
                <w:kern w:val="0"/>
                <w:sz w:val="22"/>
              </w:rPr>
              <w:t>低位发热值</w:t>
            </w:r>
          </w:p>
        </w:tc>
        <w:tc>
          <w:tcPr>
            <w:tcW w:w="1534" w:type="dxa"/>
            <w:shd w:val="clear" w:color="auto" w:fill="auto"/>
            <w:vAlign w:val="center"/>
          </w:tcPr>
          <w:p>
            <w:pPr>
              <w:widowControl/>
              <w:jc w:val="center"/>
              <w:rPr>
                <w:rFonts w:hint="eastAsia" w:ascii="宋体" w:hAnsi="宋体" w:cs="宋体"/>
                <w:b/>
                <w:bCs/>
                <w:color w:val="000000"/>
                <w:kern w:val="0"/>
                <w:sz w:val="22"/>
              </w:rPr>
            </w:pPr>
            <w:r>
              <w:rPr>
                <w:rFonts w:hint="eastAsia" w:ascii="宋体" w:hAnsi="宋体" w:cs="宋体"/>
                <w:b/>
                <w:bCs/>
                <w:color w:val="000000"/>
                <w:kern w:val="0"/>
                <w:sz w:val="22"/>
              </w:rPr>
              <w:t>单位热值含碳量</w:t>
            </w:r>
          </w:p>
        </w:tc>
        <w:tc>
          <w:tcPr>
            <w:tcW w:w="2599" w:type="dxa"/>
            <w:shd w:val="clear" w:color="auto" w:fill="auto"/>
            <w:vAlign w:val="center"/>
          </w:tcPr>
          <w:p>
            <w:pPr>
              <w:widowControl/>
              <w:jc w:val="center"/>
              <w:rPr>
                <w:rFonts w:hint="eastAsia" w:ascii="宋体" w:hAnsi="宋体" w:cs="宋体"/>
                <w:b/>
                <w:bCs/>
                <w:color w:val="000000"/>
                <w:kern w:val="0"/>
                <w:sz w:val="22"/>
              </w:rPr>
            </w:pPr>
            <w:r>
              <w:rPr>
                <w:rFonts w:hint="eastAsia" w:ascii="宋体" w:hAnsi="宋体" w:cs="宋体"/>
                <w:b/>
                <w:bCs/>
                <w:color w:val="000000"/>
                <w:kern w:val="0"/>
                <w:sz w:val="22"/>
              </w:rPr>
              <w:t>直接排放量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5" w:hRule="atLeast"/>
        </w:trPr>
        <w:tc>
          <w:tcPr>
            <w:tcW w:w="416" w:type="dxa"/>
            <w:vMerge w:val="continue"/>
            <w:vAlign w:val="center"/>
          </w:tcPr>
          <w:p>
            <w:pPr>
              <w:widowControl/>
              <w:jc w:val="left"/>
              <w:rPr>
                <w:rFonts w:ascii="宋体" w:hAnsi="宋体" w:cs="宋体"/>
                <w:b/>
                <w:bCs/>
                <w:color w:val="000000"/>
                <w:kern w:val="0"/>
                <w:sz w:val="22"/>
              </w:rPr>
            </w:pPr>
          </w:p>
        </w:tc>
        <w:tc>
          <w:tcPr>
            <w:tcW w:w="1559" w:type="dxa"/>
            <w:gridSpan w:val="2"/>
            <w:vMerge w:val="continue"/>
            <w:vAlign w:val="center"/>
          </w:tcPr>
          <w:p>
            <w:pPr>
              <w:widowControl/>
              <w:jc w:val="left"/>
              <w:rPr>
                <w:rFonts w:ascii="宋体" w:hAnsi="宋体" w:cs="宋体"/>
                <w:b/>
                <w:bCs/>
                <w:color w:val="000000"/>
                <w:kern w:val="0"/>
                <w:sz w:val="22"/>
              </w:rPr>
            </w:pPr>
          </w:p>
        </w:tc>
        <w:tc>
          <w:tcPr>
            <w:tcW w:w="1025" w:type="dxa"/>
            <w:shd w:val="clear" w:color="auto" w:fill="auto"/>
            <w:vAlign w:val="center"/>
          </w:tcPr>
          <w:p>
            <w:pPr>
              <w:widowControl/>
              <w:jc w:val="center"/>
              <w:rPr>
                <w:rFonts w:hint="eastAsia" w:ascii="Times New Roman" w:hAnsi="Times New Roman"/>
                <w:b/>
                <w:bCs/>
                <w:color w:val="000000"/>
                <w:kern w:val="0"/>
                <w:sz w:val="22"/>
              </w:rPr>
            </w:pPr>
            <w:r>
              <w:rPr>
                <w:rFonts w:ascii="Times New Roman" w:hAnsi="Times New Roman"/>
                <w:b/>
                <w:bCs/>
                <w:color w:val="000000"/>
                <w:kern w:val="0"/>
                <w:sz w:val="22"/>
              </w:rPr>
              <w:t>A</w:t>
            </w:r>
          </w:p>
        </w:tc>
        <w:tc>
          <w:tcPr>
            <w:tcW w:w="1153" w:type="dxa"/>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B</w:t>
            </w:r>
          </w:p>
        </w:tc>
        <w:tc>
          <w:tcPr>
            <w:tcW w:w="1534" w:type="dxa"/>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C</w:t>
            </w:r>
          </w:p>
        </w:tc>
        <w:tc>
          <w:tcPr>
            <w:tcW w:w="2599" w:type="dxa"/>
            <w:shd w:val="clear" w:color="auto" w:fill="auto"/>
            <w:vAlign w:val="center"/>
          </w:tcPr>
          <w:p>
            <w:pPr>
              <w:widowControl/>
              <w:jc w:val="center"/>
              <w:rPr>
                <w:rFonts w:ascii="Times New Roman" w:hAnsi="Times New Roman"/>
                <w:b/>
                <w:bCs/>
                <w:color w:val="000000"/>
                <w:kern w:val="0"/>
                <w:sz w:val="22"/>
              </w:rPr>
            </w:pPr>
            <w:r>
              <w:rPr>
                <w:rFonts w:ascii="Times New Roman" w:hAnsi="Times New Roman"/>
                <w:b/>
                <w:bCs/>
                <w:color w:val="000000"/>
                <w:kern w:val="0"/>
                <w:sz w:val="22"/>
              </w:rPr>
              <w:t>E=A*B*C*D*</w:t>
            </w:r>
            <w:r>
              <w:rPr>
                <w:rFonts w:hint="eastAsia" w:ascii="宋体" w:hAnsi="宋体"/>
                <w:b/>
                <w:bCs/>
                <w:color w:val="000000"/>
                <w:kern w:val="0"/>
                <w:sz w:val="22"/>
              </w:rPr>
              <w:t>（</w:t>
            </w:r>
            <w:r>
              <w:rPr>
                <w:rFonts w:ascii="Times New Roman" w:hAnsi="Times New Roman"/>
                <w:b/>
                <w:bCs/>
                <w:color w:val="000000"/>
                <w:kern w:val="0"/>
                <w:sz w:val="22"/>
              </w:rPr>
              <w:t>44/12</w:t>
            </w:r>
            <w:r>
              <w:rPr>
                <w:rFonts w:hint="eastAsia" w:ascii="宋体" w:hAnsi="宋体"/>
                <w:b/>
                <w:bCs/>
                <w:color w:val="000000"/>
                <w:kern w:val="0"/>
                <w:sz w:val="22"/>
              </w:rPr>
              <w:t>）</w:t>
            </w:r>
            <w:r>
              <w:rPr>
                <w:rFonts w:ascii="Times New Roman" w:hAnsi="Times New Roman"/>
                <w:b/>
                <w:bCs/>
                <w:color w:val="000000"/>
                <w:kern w:val="0"/>
                <w:sz w:val="22"/>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16" w:type="dxa"/>
            <w:vMerge w:val="restart"/>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2019</w:t>
            </w:r>
          </w:p>
        </w:tc>
        <w:tc>
          <w:tcPr>
            <w:tcW w:w="7870" w:type="dxa"/>
            <w:gridSpan w:val="6"/>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碳输入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restart"/>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烟煤</w:t>
            </w: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单位</w:t>
            </w:r>
          </w:p>
        </w:tc>
        <w:tc>
          <w:tcPr>
            <w:tcW w:w="1025"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t</w:t>
            </w:r>
          </w:p>
        </w:tc>
        <w:tc>
          <w:tcPr>
            <w:tcW w:w="1153"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GJ/</w:t>
            </w:r>
            <w:r>
              <w:rPr>
                <w:rFonts w:hint="eastAsia" w:ascii="宋体" w:hAnsi="宋体"/>
                <w:color w:val="000000"/>
                <w:kern w:val="0"/>
                <w:sz w:val="22"/>
              </w:rPr>
              <w:t>t</w:t>
            </w:r>
          </w:p>
        </w:tc>
        <w:tc>
          <w:tcPr>
            <w:tcW w:w="1534"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tC/GJ</w:t>
            </w:r>
          </w:p>
        </w:tc>
        <w:tc>
          <w:tcPr>
            <w:tcW w:w="2599" w:type="dxa"/>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continue"/>
            <w:vAlign w:val="center"/>
          </w:tcPr>
          <w:p>
            <w:pPr>
              <w:widowControl/>
              <w:jc w:val="left"/>
              <w:rPr>
                <w:rFonts w:ascii="宋体" w:hAnsi="宋体" w:cs="宋体"/>
                <w:color w:val="000000"/>
                <w:kern w:val="0"/>
                <w:sz w:val="22"/>
              </w:rPr>
            </w:pP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数值</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763360.89</w:t>
            </w:r>
          </w:p>
        </w:tc>
        <w:tc>
          <w:tcPr>
            <w:tcW w:w="1153"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24.83</w:t>
            </w:r>
          </w:p>
        </w:tc>
        <w:tc>
          <w:tcPr>
            <w:tcW w:w="1534"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0.02618</w:t>
            </w:r>
          </w:p>
        </w:tc>
        <w:tc>
          <w:tcPr>
            <w:tcW w:w="2599"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 xml:space="preserve">1819481.72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16" w:type="dxa"/>
            <w:vMerge w:val="continue"/>
            <w:vAlign w:val="center"/>
          </w:tcPr>
          <w:p>
            <w:pPr>
              <w:widowControl/>
              <w:jc w:val="left"/>
              <w:rPr>
                <w:rFonts w:ascii="Times New Roman" w:hAnsi="Times New Roman"/>
                <w:color w:val="000000"/>
                <w:kern w:val="0"/>
                <w:sz w:val="22"/>
              </w:rPr>
            </w:pPr>
          </w:p>
        </w:tc>
        <w:tc>
          <w:tcPr>
            <w:tcW w:w="7870" w:type="dxa"/>
            <w:gridSpan w:val="6"/>
            <w:shd w:val="clear" w:color="auto" w:fill="auto"/>
            <w:vAlign w:val="center"/>
          </w:tcPr>
          <w:p>
            <w:pPr>
              <w:widowControl/>
              <w:jc w:val="center"/>
              <w:rPr>
                <w:rFonts w:ascii="宋体" w:hAnsi="宋体" w:cs="宋体"/>
                <w:b/>
                <w:bCs/>
                <w:color w:val="000000"/>
                <w:kern w:val="0"/>
                <w:sz w:val="22"/>
              </w:rPr>
            </w:pPr>
            <w:r>
              <w:rPr>
                <w:rFonts w:hint="eastAsia" w:ascii="宋体" w:hAnsi="宋体" w:cs="宋体"/>
                <w:b/>
                <w:bCs/>
                <w:color w:val="000000"/>
                <w:kern w:val="0"/>
                <w:sz w:val="22"/>
              </w:rPr>
              <w:t>碳输出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restart"/>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尿素</w:t>
            </w: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单位</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t</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w:t>
            </w:r>
          </w:p>
        </w:tc>
        <w:tc>
          <w:tcPr>
            <w:tcW w:w="2599" w:type="dxa"/>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continue"/>
            <w:vAlign w:val="center"/>
          </w:tcPr>
          <w:p>
            <w:pPr>
              <w:widowControl/>
              <w:jc w:val="left"/>
              <w:rPr>
                <w:rFonts w:ascii="宋体" w:hAnsi="宋体" w:cs="宋体"/>
                <w:color w:val="000000"/>
                <w:kern w:val="0"/>
                <w:sz w:val="22"/>
              </w:rPr>
            </w:pP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数值</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864978.89</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0.2</w:t>
            </w:r>
          </w:p>
        </w:tc>
        <w:tc>
          <w:tcPr>
            <w:tcW w:w="2599"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634317.85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restart"/>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粗渣</w:t>
            </w: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单位</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t</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w:t>
            </w:r>
          </w:p>
        </w:tc>
        <w:tc>
          <w:tcPr>
            <w:tcW w:w="2599" w:type="dxa"/>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continue"/>
            <w:vAlign w:val="center"/>
          </w:tcPr>
          <w:p>
            <w:pPr>
              <w:widowControl/>
              <w:jc w:val="left"/>
              <w:rPr>
                <w:rFonts w:ascii="宋体" w:hAnsi="宋体" w:cs="宋体"/>
                <w:color w:val="000000"/>
                <w:kern w:val="0"/>
                <w:sz w:val="22"/>
              </w:rPr>
            </w:pP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数值</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40394</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0.0196</w:t>
            </w:r>
          </w:p>
        </w:tc>
        <w:tc>
          <w:tcPr>
            <w:tcW w:w="2599"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2909.26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restart"/>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细渣</w:t>
            </w: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单位</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t</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tC/t</w:t>
            </w:r>
          </w:p>
        </w:tc>
        <w:tc>
          <w:tcPr>
            <w:tcW w:w="2599" w:type="dxa"/>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吨</w:t>
            </w:r>
            <w:r>
              <w:rPr>
                <w:rFonts w:ascii="Times New Roman" w:hAnsi="Times New Roman"/>
                <w:color w:val="000000"/>
                <w:kern w:val="0"/>
                <w:sz w:val="22"/>
              </w:rPr>
              <w:t>CO</w:t>
            </w:r>
            <w:r>
              <w:rPr>
                <w:rFonts w:ascii="Times New Roman" w:hAnsi="Times New Roman"/>
                <w:color w:val="000000"/>
                <w:kern w:val="0"/>
                <w:sz w:val="22"/>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16" w:type="dxa"/>
            <w:vMerge w:val="continue"/>
            <w:vAlign w:val="center"/>
          </w:tcPr>
          <w:p>
            <w:pPr>
              <w:widowControl/>
              <w:jc w:val="left"/>
              <w:rPr>
                <w:rFonts w:ascii="Times New Roman" w:hAnsi="Times New Roman"/>
                <w:color w:val="000000"/>
                <w:kern w:val="0"/>
                <w:sz w:val="22"/>
              </w:rPr>
            </w:pPr>
          </w:p>
        </w:tc>
        <w:tc>
          <w:tcPr>
            <w:tcW w:w="837" w:type="dxa"/>
            <w:vMerge w:val="continue"/>
            <w:vAlign w:val="center"/>
          </w:tcPr>
          <w:p>
            <w:pPr>
              <w:widowControl/>
              <w:jc w:val="left"/>
              <w:rPr>
                <w:rFonts w:ascii="宋体" w:hAnsi="宋体" w:cs="宋体"/>
                <w:color w:val="000000"/>
                <w:kern w:val="0"/>
                <w:sz w:val="22"/>
              </w:rPr>
            </w:pPr>
          </w:p>
        </w:tc>
        <w:tc>
          <w:tcPr>
            <w:tcW w:w="722" w:type="dxa"/>
            <w:shd w:val="clear" w:color="auto" w:fill="auto"/>
            <w:vAlign w:val="center"/>
          </w:tcPr>
          <w:p>
            <w:pPr>
              <w:widowControl/>
              <w:jc w:val="center"/>
              <w:rPr>
                <w:rFonts w:hint="eastAsia" w:ascii="宋体" w:hAnsi="宋体" w:cs="宋体"/>
                <w:color w:val="000000"/>
                <w:kern w:val="0"/>
                <w:sz w:val="22"/>
              </w:rPr>
            </w:pPr>
            <w:r>
              <w:rPr>
                <w:rFonts w:hint="eastAsia" w:ascii="宋体" w:hAnsi="宋体" w:cs="宋体"/>
                <w:color w:val="000000"/>
                <w:kern w:val="0"/>
                <w:sz w:val="22"/>
              </w:rPr>
              <w:t>数值</w:t>
            </w:r>
          </w:p>
        </w:tc>
        <w:tc>
          <w:tcPr>
            <w:tcW w:w="1025"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39672</w:t>
            </w:r>
          </w:p>
        </w:tc>
        <w:tc>
          <w:tcPr>
            <w:tcW w:w="2687" w:type="dxa"/>
            <w:gridSpan w:val="2"/>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0.1612</w:t>
            </w:r>
          </w:p>
        </w:tc>
        <w:tc>
          <w:tcPr>
            <w:tcW w:w="2599" w:type="dxa"/>
            <w:shd w:val="clear" w:color="auto" w:fill="auto"/>
            <w:vAlign w:val="center"/>
          </w:tcPr>
          <w:p>
            <w:pPr>
              <w:widowControl/>
              <w:jc w:val="center"/>
              <w:rPr>
                <w:rFonts w:ascii="Times New Roman" w:hAnsi="Times New Roman"/>
                <w:color w:val="000000"/>
                <w:kern w:val="0"/>
                <w:sz w:val="22"/>
              </w:rPr>
            </w:pPr>
            <w:r>
              <w:rPr>
                <w:rFonts w:ascii="Times New Roman" w:hAnsi="Times New Roman"/>
                <w:color w:val="000000"/>
                <w:kern w:val="0"/>
                <w:sz w:val="22"/>
              </w:rPr>
              <w:t>23447.52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87" w:type="dxa"/>
            <w:gridSpan w:val="6"/>
            <w:shd w:val="clear" w:color="auto" w:fill="auto"/>
            <w:vAlign w:val="center"/>
          </w:tcPr>
          <w:p>
            <w:pPr>
              <w:widowControl/>
              <w:jc w:val="center"/>
              <w:rPr>
                <w:rFonts w:ascii="宋体" w:hAnsi="宋体" w:cs="宋体"/>
                <w:color w:val="000000"/>
                <w:kern w:val="0"/>
                <w:sz w:val="22"/>
              </w:rPr>
            </w:pPr>
            <w:r>
              <w:rPr>
                <w:rFonts w:hint="eastAsia" w:ascii="宋体" w:hAnsi="宋体" w:cs="宋体"/>
                <w:color w:val="000000"/>
                <w:kern w:val="0"/>
                <w:sz w:val="22"/>
              </w:rPr>
              <w:t>合计</w:t>
            </w:r>
          </w:p>
        </w:tc>
        <w:tc>
          <w:tcPr>
            <w:tcW w:w="2599" w:type="dxa"/>
            <w:shd w:val="clear" w:color="auto" w:fill="auto"/>
            <w:vAlign w:val="center"/>
          </w:tcPr>
          <w:p>
            <w:pPr>
              <w:widowControl/>
              <w:jc w:val="center"/>
              <w:rPr>
                <w:rFonts w:hint="eastAsia" w:ascii="Times New Roman" w:hAnsi="Times New Roman"/>
                <w:color w:val="000000"/>
                <w:kern w:val="0"/>
                <w:sz w:val="22"/>
              </w:rPr>
            </w:pPr>
            <w:r>
              <w:rPr>
                <w:rFonts w:ascii="Times New Roman" w:hAnsi="Times New Roman"/>
                <w:color w:val="000000"/>
                <w:kern w:val="0"/>
                <w:sz w:val="22"/>
              </w:rPr>
              <w:t xml:space="preserve">1158807.09 </w:t>
            </w:r>
          </w:p>
        </w:tc>
      </w:tr>
    </w:tbl>
    <w:p>
      <w:pPr>
        <w:spacing w:before="240" w:after="120"/>
        <w:jc w:val="center"/>
        <w:rPr>
          <w:rFonts w:ascii="Times New Roman" w:hAnsi="Times New Roman"/>
          <w:sz w:val="24"/>
          <w:szCs w:val="24"/>
        </w:rPr>
      </w:pPr>
      <w:r>
        <w:rPr>
          <w:rFonts w:hint="eastAsia" w:ascii="Times New Roman" w:hAnsi="Times New Roman"/>
          <w:sz w:val="24"/>
          <w:szCs w:val="24"/>
        </w:rPr>
        <w:t>表</w:t>
      </w:r>
      <w:r>
        <w:rPr>
          <w:rFonts w:ascii="Times New Roman" w:hAnsi="Times New Roman"/>
          <w:sz w:val="24"/>
          <w:szCs w:val="24"/>
        </w:rPr>
        <w:t>2-3-1-3</w:t>
      </w:r>
      <w:r>
        <w:rPr>
          <w:rFonts w:hint="eastAsia" w:ascii="Times New Roman" w:hAnsi="Times New Roman"/>
          <w:sz w:val="24"/>
          <w:szCs w:val="24"/>
        </w:rPr>
        <w:t xml:space="preserve">  净购入电力产生的二氧化碳间接排放</w:t>
      </w:r>
    </w:p>
    <w:tbl>
      <w:tblPr>
        <w:tblStyle w:val="25"/>
        <w:tblW w:w="5000" w:type="pct"/>
        <w:jc w:val="center"/>
        <w:tblLayout w:type="autofit"/>
        <w:tblCellMar>
          <w:top w:w="0" w:type="dxa"/>
          <w:left w:w="108" w:type="dxa"/>
          <w:bottom w:w="0" w:type="dxa"/>
          <w:right w:w="108" w:type="dxa"/>
        </w:tblCellMar>
      </w:tblPr>
      <w:tblGrid>
        <w:gridCol w:w="1404"/>
        <w:gridCol w:w="2248"/>
        <w:gridCol w:w="2410"/>
        <w:gridCol w:w="2460"/>
      </w:tblGrid>
      <w:tr>
        <w:tblPrEx>
          <w:tblCellMar>
            <w:top w:w="0" w:type="dxa"/>
            <w:left w:w="108" w:type="dxa"/>
            <w:bottom w:w="0" w:type="dxa"/>
            <w:right w:w="108" w:type="dxa"/>
          </w:tblCellMar>
        </w:tblPrEx>
        <w:trPr>
          <w:trHeight w:val="732" w:hRule="atLeast"/>
          <w:jc w:val="center"/>
        </w:trPr>
        <w:tc>
          <w:tcPr>
            <w:tcW w:w="824" w:type="pct"/>
            <w:tcBorders>
              <w:top w:val="single" w:color="auto" w:sz="4" w:space="0"/>
              <w:left w:val="single" w:color="auto" w:sz="4" w:space="0"/>
              <w:bottom w:val="single" w:color="auto" w:sz="4" w:space="0"/>
              <w:right w:val="single" w:color="auto" w:sz="4" w:space="0"/>
            </w:tcBorders>
            <w:vAlign w:val="center"/>
          </w:tcPr>
          <w:p>
            <w:pPr>
              <w:spacing w:before="60" w:after="60"/>
              <w:jc w:val="center"/>
              <w:rPr>
                <w:rFonts w:ascii="Times New Roman" w:hAnsi="Times New Roman"/>
                <w:b/>
                <w:bCs/>
                <w:sz w:val="22"/>
              </w:rPr>
            </w:pPr>
            <w:r>
              <w:rPr>
                <w:rFonts w:hint="eastAsia" w:ascii="Times New Roman" w:hAnsi="Times New Roman"/>
                <w:b/>
                <w:bCs/>
                <w:sz w:val="22"/>
              </w:rPr>
              <w:t>年度</w:t>
            </w:r>
          </w:p>
        </w:tc>
        <w:tc>
          <w:tcPr>
            <w:tcW w:w="1319" w:type="pct"/>
            <w:tcBorders>
              <w:top w:val="single" w:color="auto" w:sz="4" w:space="0"/>
              <w:left w:val="nil"/>
              <w:bottom w:val="single" w:color="auto" w:sz="4" w:space="0"/>
              <w:right w:val="single" w:color="auto" w:sz="4" w:space="0"/>
            </w:tcBorders>
            <w:vAlign w:val="center"/>
          </w:tcPr>
          <w:p>
            <w:pPr>
              <w:spacing w:before="60" w:after="60"/>
              <w:jc w:val="center"/>
              <w:rPr>
                <w:rFonts w:ascii="Times New Roman" w:hAnsi="Times New Roman"/>
                <w:b/>
                <w:bCs/>
                <w:sz w:val="22"/>
              </w:rPr>
            </w:pPr>
            <w:r>
              <w:rPr>
                <w:rFonts w:hint="eastAsia" w:ascii="Times New Roman" w:hAnsi="Times New Roman"/>
                <w:b/>
                <w:bCs/>
                <w:sz w:val="22"/>
              </w:rPr>
              <w:t>净购入电力产品消耗量</w:t>
            </w:r>
            <w:r>
              <w:rPr>
                <w:rFonts w:hint="eastAsia" w:ascii="Times New Roman" w:hAnsi="Times New Roman"/>
                <w:b/>
                <w:bCs/>
                <w:sz w:val="22"/>
              </w:rPr>
              <w:br w:type="textWrapping"/>
            </w:r>
            <w:r>
              <w:rPr>
                <w:rFonts w:hint="eastAsia" w:ascii="Times New Roman" w:hAnsi="Times New Roman"/>
                <w:b/>
                <w:bCs/>
                <w:sz w:val="22"/>
              </w:rPr>
              <w:t>（MWh）</w:t>
            </w:r>
          </w:p>
          <w:p>
            <w:pPr>
              <w:spacing w:before="60" w:after="60"/>
              <w:jc w:val="center"/>
              <w:rPr>
                <w:rFonts w:ascii="Times New Roman" w:hAnsi="Times New Roman"/>
                <w:b/>
                <w:bCs/>
                <w:sz w:val="22"/>
              </w:rPr>
            </w:pPr>
            <w:r>
              <w:rPr>
                <w:rFonts w:hint="eastAsia" w:ascii="Times New Roman" w:hAnsi="Times New Roman"/>
                <w:b/>
                <w:bCs/>
                <w:sz w:val="22"/>
              </w:rPr>
              <w:t>A</w:t>
            </w:r>
          </w:p>
        </w:tc>
        <w:tc>
          <w:tcPr>
            <w:tcW w:w="1414" w:type="pct"/>
            <w:tcBorders>
              <w:top w:val="single" w:color="auto" w:sz="4" w:space="0"/>
              <w:left w:val="nil"/>
              <w:bottom w:val="single" w:color="auto" w:sz="4" w:space="0"/>
              <w:right w:val="single" w:color="auto" w:sz="4" w:space="0"/>
            </w:tcBorders>
            <w:vAlign w:val="center"/>
          </w:tcPr>
          <w:p>
            <w:pPr>
              <w:spacing w:before="60" w:after="60"/>
              <w:jc w:val="center"/>
              <w:rPr>
                <w:rFonts w:ascii="Times New Roman" w:hAnsi="Times New Roman"/>
                <w:b/>
                <w:bCs/>
                <w:sz w:val="22"/>
              </w:rPr>
            </w:pPr>
            <w:r>
              <w:rPr>
                <w:rFonts w:hint="eastAsia" w:ascii="Times New Roman" w:hAnsi="Times New Roman"/>
                <w:b/>
                <w:bCs/>
                <w:sz w:val="22"/>
              </w:rPr>
              <w:t>间接排放系数</w:t>
            </w:r>
            <w:r>
              <w:rPr>
                <w:rFonts w:hint="eastAsia" w:ascii="Times New Roman" w:hAnsi="Times New Roman"/>
                <w:b/>
                <w:bCs/>
                <w:sz w:val="22"/>
              </w:rPr>
              <w:br w:type="textWrapping"/>
            </w:r>
            <w:r>
              <w:rPr>
                <w:rFonts w:hint="eastAsia" w:ascii="Times New Roman" w:hAnsi="Times New Roman"/>
                <w:b/>
                <w:bCs/>
                <w:sz w:val="22"/>
              </w:rPr>
              <w:t>（tCO</w:t>
            </w:r>
            <w:r>
              <w:rPr>
                <w:rFonts w:hint="eastAsia" w:ascii="Times New Roman" w:hAnsi="Times New Roman"/>
                <w:b/>
                <w:bCs/>
                <w:sz w:val="22"/>
                <w:vertAlign w:val="subscript"/>
              </w:rPr>
              <w:t>2</w:t>
            </w:r>
            <w:r>
              <w:rPr>
                <w:rFonts w:hint="eastAsia" w:ascii="Times New Roman" w:hAnsi="Times New Roman"/>
                <w:b/>
                <w:bCs/>
                <w:sz w:val="22"/>
              </w:rPr>
              <w:t>/MWh）</w:t>
            </w:r>
          </w:p>
          <w:p>
            <w:pPr>
              <w:spacing w:before="60" w:after="60"/>
              <w:jc w:val="center"/>
              <w:rPr>
                <w:rFonts w:ascii="Times New Roman" w:hAnsi="Times New Roman"/>
                <w:b/>
                <w:bCs/>
                <w:sz w:val="22"/>
              </w:rPr>
            </w:pPr>
            <w:r>
              <w:rPr>
                <w:rFonts w:hint="eastAsia" w:ascii="Times New Roman" w:hAnsi="Times New Roman"/>
                <w:b/>
                <w:bCs/>
                <w:sz w:val="22"/>
              </w:rPr>
              <w:t>B</w:t>
            </w:r>
          </w:p>
        </w:tc>
        <w:tc>
          <w:tcPr>
            <w:tcW w:w="1443" w:type="pct"/>
            <w:tcBorders>
              <w:top w:val="single" w:color="auto" w:sz="4" w:space="0"/>
              <w:left w:val="nil"/>
              <w:bottom w:val="single" w:color="auto" w:sz="4" w:space="0"/>
              <w:right w:val="single" w:color="auto" w:sz="4" w:space="0"/>
            </w:tcBorders>
            <w:vAlign w:val="center"/>
          </w:tcPr>
          <w:p>
            <w:pPr>
              <w:spacing w:before="60" w:after="60"/>
              <w:jc w:val="center"/>
              <w:rPr>
                <w:rFonts w:ascii="Times New Roman" w:hAnsi="Times New Roman"/>
                <w:b/>
                <w:bCs/>
                <w:sz w:val="22"/>
              </w:rPr>
            </w:pPr>
            <w:r>
              <w:rPr>
                <w:rFonts w:hint="eastAsia" w:ascii="Times New Roman" w:hAnsi="Times New Roman"/>
                <w:b/>
                <w:bCs/>
                <w:sz w:val="22"/>
              </w:rPr>
              <w:t>间接排放量（tCO</w:t>
            </w:r>
            <w:r>
              <w:rPr>
                <w:rFonts w:hint="eastAsia"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C=A*B</w:t>
            </w:r>
          </w:p>
        </w:tc>
      </w:tr>
      <w:tr>
        <w:tblPrEx>
          <w:tblCellMar>
            <w:top w:w="0" w:type="dxa"/>
            <w:left w:w="108" w:type="dxa"/>
            <w:bottom w:w="0" w:type="dxa"/>
            <w:right w:w="108" w:type="dxa"/>
          </w:tblCellMar>
        </w:tblPrEx>
        <w:trPr>
          <w:trHeight w:val="398" w:hRule="atLeast"/>
          <w:jc w:val="center"/>
        </w:trPr>
        <w:tc>
          <w:tcPr>
            <w:tcW w:w="824" w:type="pct"/>
            <w:tcBorders>
              <w:top w:val="single" w:color="auto" w:sz="4" w:space="0"/>
              <w:left w:val="single" w:color="auto" w:sz="4" w:space="0"/>
              <w:bottom w:val="single" w:color="auto" w:sz="4" w:space="0"/>
              <w:right w:val="single" w:color="auto" w:sz="4" w:space="0"/>
            </w:tcBorders>
            <w:vAlign w:val="center"/>
          </w:tcPr>
          <w:p>
            <w:pPr>
              <w:spacing w:before="60" w:after="60"/>
              <w:jc w:val="center"/>
              <w:rPr>
                <w:rFonts w:ascii="Times New Roman" w:hAnsi="Times New Roman"/>
                <w:sz w:val="22"/>
              </w:rPr>
            </w:pPr>
            <w:r>
              <w:rPr>
                <w:rFonts w:hint="eastAsia" w:ascii="Times New Roman" w:hAnsi="Times New Roman"/>
                <w:sz w:val="22"/>
              </w:rPr>
              <w:t>2019</w:t>
            </w:r>
          </w:p>
        </w:tc>
        <w:tc>
          <w:tcPr>
            <w:tcW w:w="13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olor w:val="000000"/>
                <w:sz w:val="22"/>
              </w:rPr>
            </w:pPr>
            <w:r>
              <w:rPr>
                <w:rFonts w:ascii="Times New Roman" w:hAnsi="Times New Roman"/>
                <w:color w:val="000000"/>
                <w:sz w:val="22"/>
              </w:rPr>
              <w:t>842427</w:t>
            </w:r>
            <w:r>
              <w:rPr>
                <w:rFonts w:hint="eastAsia" w:ascii="Times New Roman" w:hAnsi="Times New Roman"/>
                <w:color w:val="000000"/>
                <w:sz w:val="22"/>
              </w:rPr>
              <w:t>.</w:t>
            </w:r>
            <w:r>
              <w:rPr>
                <w:rFonts w:ascii="Times New Roman" w:hAnsi="Times New Roman"/>
                <w:color w:val="000000"/>
                <w:sz w:val="22"/>
              </w:rPr>
              <w:t>760</w:t>
            </w:r>
          </w:p>
        </w:tc>
        <w:tc>
          <w:tcPr>
            <w:tcW w:w="1414"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color w:val="000000"/>
                <w:sz w:val="22"/>
              </w:rPr>
            </w:pPr>
            <w:r>
              <w:rPr>
                <w:rFonts w:ascii="Times New Roman" w:hAnsi="Times New Roman"/>
                <w:color w:val="000000"/>
                <w:sz w:val="22"/>
              </w:rPr>
              <w:t>0.5257</w:t>
            </w:r>
          </w:p>
        </w:tc>
        <w:tc>
          <w:tcPr>
            <w:tcW w:w="1443" w:type="pct"/>
            <w:tcBorders>
              <w:top w:val="single" w:color="auto" w:sz="4" w:space="0"/>
              <w:left w:val="nil"/>
              <w:bottom w:val="single" w:color="auto" w:sz="4" w:space="0"/>
              <w:right w:val="single" w:color="auto" w:sz="4" w:space="0"/>
            </w:tcBorders>
            <w:vAlign w:val="center"/>
          </w:tcPr>
          <w:p>
            <w:pPr>
              <w:spacing w:before="60" w:after="60"/>
              <w:jc w:val="center"/>
              <w:rPr>
                <w:rFonts w:ascii="Times New Roman" w:hAnsi="Times New Roman"/>
                <w:sz w:val="22"/>
              </w:rPr>
            </w:pPr>
            <w:r>
              <w:rPr>
                <w:rFonts w:ascii="Times New Roman" w:hAnsi="Times New Roman"/>
                <w:sz w:val="22"/>
              </w:rPr>
              <w:t>442864.27</w:t>
            </w:r>
          </w:p>
        </w:tc>
      </w:tr>
    </w:tbl>
    <w:p>
      <w:pPr>
        <w:ind w:firstLine="480" w:firstLineChars="200"/>
        <w:jc w:val="center"/>
        <w:rPr>
          <w:rFonts w:ascii="Times New Roman" w:hAnsi="Times New Roman" w:eastAsia="仿宋_GB2312"/>
          <w:sz w:val="24"/>
          <w:szCs w:val="24"/>
        </w:rPr>
      </w:pPr>
    </w:p>
    <w:p>
      <w:pPr>
        <w:spacing w:before="240" w:after="120"/>
        <w:jc w:val="center"/>
        <w:rPr>
          <w:rFonts w:ascii="Times New Roman" w:hAnsi="Times New Roman"/>
          <w:sz w:val="24"/>
          <w:szCs w:val="24"/>
        </w:rPr>
      </w:pPr>
      <w:r>
        <w:rPr>
          <w:rFonts w:hint="eastAsia" w:ascii="Times New Roman" w:hAnsi="Times New Roman"/>
          <w:sz w:val="24"/>
          <w:szCs w:val="24"/>
        </w:rPr>
        <w:t>表</w:t>
      </w:r>
      <w:r>
        <w:rPr>
          <w:rFonts w:ascii="Times New Roman" w:hAnsi="Times New Roman"/>
          <w:sz w:val="24"/>
          <w:szCs w:val="24"/>
        </w:rPr>
        <w:t>2-3-1-4</w:t>
      </w:r>
      <w:r>
        <w:rPr>
          <w:rFonts w:hint="eastAsia" w:ascii="Times New Roman" w:hAnsi="Times New Roman"/>
          <w:sz w:val="24"/>
          <w:szCs w:val="24"/>
        </w:rPr>
        <w:t xml:space="preserve">  201</w:t>
      </w:r>
      <w:r>
        <w:rPr>
          <w:rFonts w:ascii="Times New Roman" w:hAnsi="Times New Roman"/>
          <w:sz w:val="24"/>
          <w:szCs w:val="24"/>
        </w:rPr>
        <w:t>9</w:t>
      </w:r>
      <w:r>
        <w:rPr>
          <w:rFonts w:hint="eastAsia" w:ascii="Times New Roman" w:hAnsi="Times New Roman"/>
          <w:sz w:val="24"/>
          <w:szCs w:val="24"/>
        </w:rPr>
        <w:t>年度尿素产品排放核算结果</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1754"/>
        <w:gridCol w:w="2018"/>
        <w:gridCol w:w="2018"/>
        <w:gridCol w:w="1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493" w:type="pct"/>
            <w:vAlign w:val="center"/>
          </w:tcPr>
          <w:p>
            <w:pPr>
              <w:spacing w:before="60" w:after="60"/>
              <w:jc w:val="center"/>
              <w:rPr>
                <w:rFonts w:ascii="Times New Roman" w:hAnsi="Times New Roman"/>
                <w:b/>
                <w:bCs/>
                <w:sz w:val="22"/>
              </w:rPr>
            </w:pPr>
            <w:r>
              <w:rPr>
                <w:rFonts w:hint="eastAsia" w:ascii="Times New Roman" w:hAnsi="Times New Roman"/>
                <w:b/>
                <w:bCs/>
                <w:sz w:val="22"/>
              </w:rPr>
              <w:t>年度</w:t>
            </w:r>
          </w:p>
        </w:tc>
        <w:tc>
          <w:tcPr>
            <w:tcW w:w="1029" w:type="pct"/>
            <w:vAlign w:val="center"/>
          </w:tcPr>
          <w:p>
            <w:pPr>
              <w:spacing w:before="60" w:after="60"/>
              <w:jc w:val="center"/>
              <w:rPr>
                <w:rFonts w:ascii="Times New Roman" w:hAnsi="Times New Roman"/>
                <w:b/>
                <w:bCs/>
                <w:sz w:val="22"/>
              </w:rPr>
            </w:pPr>
            <w:r>
              <w:rPr>
                <w:rFonts w:hint="eastAsia" w:ascii="Times New Roman" w:hAnsi="Times New Roman"/>
                <w:b/>
                <w:bCs/>
                <w:sz w:val="22"/>
              </w:rPr>
              <w:t>直接排放（tCO</w:t>
            </w:r>
            <w:r>
              <w:rPr>
                <w:rFonts w:hint="eastAsia"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A</w:t>
            </w:r>
          </w:p>
        </w:tc>
        <w:tc>
          <w:tcPr>
            <w:tcW w:w="1184" w:type="pct"/>
          </w:tcPr>
          <w:p>
            <w:pPr>
              <w:spacing w:before="60" w:after="60"/>
              <w:jc w:val="center"/>
              <w:rPr>
                <w:rFonts w:ascii="Times New Roman" w:hAnsi="Times New Roman"/>
                <w:b/>
                <w:bCs/>
                <w:sz w:val="22"/>
              </w:rPr>
            </w:pPr>
            <w:r>
              <w:rPr>
                <w:rFonts w:hint="eastAsia" w:ascii="Times New Roman" w:hAnsi="Times New Roman"/>
                <w:b/>
                <w:bCs/>
                <w:sz w:val="22"/>
              </w:rPr>
              <w:t>工业生产过程（</w:t>
            </w:r>
            <w:r>
              <w:rPr>
                <w:rFonts w:ascii="Times New Roman" w:hAnsi="Times New Roman"/>
                <w:b/>
                <w:bCs/>
                <w:sz w:val="22"/>
              </w:rPr>
              <w:t>tCO</w:t>
            </w:r>
            <w:r>
              <w:rPr>
                <w:rFonts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B</w:t>
            </w:r>
          </w:p>
        </w:tc>
        <w:tc>
          <w:tcPr>
            <w:tcW w:w="1184" w:type="pct"/>
            <w:vAlign w:val="center"/>
          </w:tcPr>
          <w:p>
            <w:pPr>
              <w:spacing w:before="60" w:after="60"/>
              <w:jc w:val="center"/>
              <w:rPr>
                <w:rFonts w:ascii="Times New Roman" w:hAnsi="Times New Roman"/>
                <w:b/>
                <w:bCs/>
                <w:sz w:val="22"/>
              </w:rPr>
            </w:pPr>
            <w:r>
              <w:rPr>
                <w:rFonts w:hint="eastAsia" w:ascii="Times New Roman" w:hAnsi="Times New Roman"/>
                <w:b/>
                <w:bCs/>
                <w:sz w:val="22"/>
              </w:rPr>
              <w:t>间接排放量（tCO</w:t>
            </w:r>
            <w:r>
              <w:rPr>
                <w:rFonts w:hint="eastAsia"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ascii="Times New Roman" w:hAnsi="Times New Roman"/>
                <w:b/>
                <w:bCs/>
                <w:sz w:val="22"/>
              </w:rPr>
              <w:t>C</w:t>
            </w:r>
          </w:p>
        </w:tc>
        <w:tc>
          <w:tcPr>
            <w:tcW w:w="1110" w:type="pct"/>
            <w:vAlign w:val="center"/>
          </w:tcPr>
          <w:p>
            <w:pPr>
              <w:spacing w:before="60" w:after="60"/>
              <w:jc w:val="center"/>
              <w:rPr>
                <w:rFonts w:ascii="Times New Roman" w:hAnsi="Times New Roman"/>
                <w:b/>
                <w:bCs/>
                <w:sz w:val="22"/>
              </w:rPr>
            </w:pPr>
            <w:r>
              <w:rPr>
                <w:rFonts w:hint="eastAsia" w:ascii="Times New Roman" w:hAnsi="Times New Roman"/>
                <w:b/>
                <w:bCs/>
                <w:sz w:val="22"/>
              </w:rPr>
              <w:t>总排放量（tCO</w:t>
            </w:r>
            <w:r>
              <w:rPr>
                <w:rFonts w:hint="eastAsia"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C=A+B</w:t>
            </w:r>
            <w:r>
              <w:rPr>
                <w:rFonts w:ascii="Times New Roman" w:hAnsi="Times New Roman"/>
                <w:b/>
                <w:bCs/>
                <w:sz w:val="22"/>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493" w:type="pct"/>
            <w:vAlign w:val="center"/>
          </w:tcPr>
          <w:p>
            <w:pPr>
              <w:spacing w:before="60" w:after="60"/>
              <w:jc w:val="center"/>
              <w:rPr>
                <w:rFonts w:ascii="Times New Roman" w:hAnsi="Times New Roman"/>
                <w:sz w:val="22"/>
              </w:rPr>
            </w:pPr>
            <w:r>
              <w:rPr>
                <w:rFonts w:hint="eastAsia" w:ascii="Times New Roman" w:hAnsi="Times New Roman"/>
                <w:sz w:val="22"/>
              </w:rPr>
              <w:t>2019</w:t>
            </w:r>
          </w:p>
        </w:tc>
        <w:tc>
          <w:tcPr>
            <w:tcW w:w="1029" w:type="pct"/>
            <w:vAlign w:val="center"/>
          </w:tcPr>
          <w:p>
            <w:pPr>
              <w:spacing w:before="60" w:after="60"/>
              <w:jc w:val="center"/>
              <w:rPr>
                <w:rFonts w:ascii="Times New Roman" w:hAnsi="Times New Roman"/>
                <w:sz w:val="22"/>
              </w:rPr>
            </w:pPr>
            <w:r>
              <w:rPr>
                <w:rFonts w:ascii="Times New Roman" w:hAnsi="Times New Roman"/>
                <w:color w:val="000000"/>
                <w:kern w:val="0"/>
                <w:sz w:val="22"/>
              </w:rPr>
              <w:t>730.94</w:t>
            </w:r>
          </w:p>
        </w:tc>
        <w:tc>
          <w:tcPr>
            <w:tcW w:w="1184" w:type="pct"/>
          </w:tcPr>
          <w:p>
            <w:pPr>
              <w:spacing w:before="60" w:after="60"/>
              <w:jc w:val="center"/>
              <w:rPr>
                <w:rFonts w:ascii="Times New Roman" w:hAnsi="Times New Roman"/>
                <w:sz w:val="22"/>
              </w:rPr>
            </w:pPr>
            <w:r>
              <w:rPr>
                <w:rFonts w:ascii="Times New Roman" w:hAnsi="Times New Roman"/>
                <w:color w:val="000000"/>
                <w:kern w:val="0"/>
                <w:sz w:val="22"/>
              </w:rPr>
              <w:t>1158807.09</w:t>
            </w:r>
          </w:p>
        </w:tc>
        <w:tc>
          <w:tcPr>
            <w:tcW w:w="1184" w:type="pct"/>
            <w:vAlign w:val="center"/>
          </w:tcPr>
          <w:p>
            <w:pPr>
              <w:spacing w:before="60" w:after="60"/>
              <w:jc w:val="center"/>
              <w:rPr>
                <w:rFonts w:ascii="Times New Roman" w:hAnsi="Times New Roman"/>
                <w:sz w:val="22"/>
              </w:rPr>
            </w:pPr>
            <w:r>
              <w:rPr>
                <w:rFonts w:ascii="Times New Roman" w:hAnsi="Times New Roman"/>
                <w:sz w:val="22"/>
              </w:rPr>
              <w:t>442864.27</w:t>
            </w:r>
          </w:p>
        </w:tc>
        <w:tc>
          <w:tcPr>
            <w:tcW w:w="1110" w:type="pct"/>
            <w:vAlign w:val="center"/>
          </w:tcPr>
          <w:p>
            <w:pPr>
              <w:spacing w:before="60" w:after="60"/>
              <w:jc w:val="center"/>
              <w:rPr>
                <w:rFonts w:ascii="Times New Roman" w:hAnsi="Times New Roman"/>
                <w:sz w:val="22"/>
              </w:rPr>
            </w:pPr>
            <w:r>
              <w:rPr>
                <w:rFonts w:ascii="Times New Roman" w:hAnsi="Times New Roman"/>
                <w:sz w:val="22"/>
              </w:rPr>
              <w:t>1602402</w:t>
            </w:r>
          </w:p>
        </w:tc>
      </w:tr>
    </w:tbl>
    <w:p>
      <w:pPr>
        <w:spacing w:line="400" w:lineRule="exact"/>
        <w:jc w:val="left"/>
        <w:rPr>
          <w:rFonts w:ascii="Times New Roman" w:hAnsi="Times New Roman"/>
          <w:b/>
          <w:bCs/>
          <w:sz w:val="24"/>
          <w:szCs w:val="24"/>
        </w:rPr>
      </w:pPr>
      <w:r>
        <w:rPr>
          <w:rFonts w:hint="eastAsia" w:ascii="Times New Roman" w:hAnsi="Times New Roman"/>
          <w:b/>
          <w:bCs/>
          <w:sz w:val="24"/>
          <w:szCs w:val="24"/>
        </w:rPr>
        <w:t xml:space="preserve"> </w:t>
      </w:r>
    </w:p>
    <w:p>
      <w:pPr>
        <w:spacing w:before="240" w:after="120"/>
        <w:jc w:val="center"/>
        <w:rPr>
          <w:rFonts w:ascii="Times New Roman" w:hAnsi="Times New Roman"/>
          <w:sz w:val="24"/>
          <w:szCs w:val="24"/>
        </w:rPr>
      </w:pPr>
      <w:r>
        <w:rPr>
          <w:rFonts w:hint="eastAsia" w:ascii="Times New Roman" w:hAnsi="Times New Roman"/>
          <w:sz w:val="24"/>
          <w:szCs w:val="24"/>
        </w:rPr>
        <w:t>表</w:t>
      </w:r>
      <w:r>
        <w:rPr>
          <w:rFonts w:ascii="Times New Roman" w:hAnsi="Times New Roman"/>
          <w:sz w:val="24"/>
          <w:szCs w:val="24"/>
        </w:rPr>
        <w:t>2-3-1-4</w:t>
      </w:r>
      <w:r>
        <w:rPr>
          <w:rFonts w:hint="eastAsia" w:ascii="Times New Roman" w:hAnsi="Times New Roman"/>
          <w:sz w:val="24"/>
          <w:szCs w:val="24"/>
        </w:rPr>
        <w:t xml:space="preserve">  201</w:t>
      </w:r>
      <w:r>
        <w:rPr>
          <w:rFonts w:ascii="Times New Roman" w:hAnsi="Times New Roman"/>
          <w:sz w:val="24"/>
          <w:szCs w:val="24"/>
        </w:rPr>
        <w:t>9</w:t>
      </w:r>
      <w:r>
        <w:rPr>
          <w:rFonts w:hint="eastAsia" w:ascii="Times New Roman" w:hAnsi="Times New Roman"/>
          <w:sz w:val="24"/>
          <w:szCs w:val="24"/>
        </w:rPr>
        <w:t>年尿素产品碳足迹核算结果</w:t>
      </w:r>
    </w:p>
    <w:tbl>
      <w:tblPr>
        <w:tblStyle w:val="2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2299"/>
        <w:gridCol w:w="2645"/>
        <w:gridCol w:w="24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100" w:type="dxa"/>
            <w:vAlign w:val="center"/>
          </w:tcPr>
          <w:p>
            <w:pPr>
              <w:spacing w:before="60" w:after="60"/>
              <w:jc w:val="center"/>
              <w:rPr>
                <w:rFonts w:ascii="Times New Roman" w:hAnsi="Times New Roman"/>
                <w:b/>
                <w:bCs/>
                <w:sz w:val="22"/>
              </w:rPr>
            </w:pPr>
            <w:r>
              <w:rPr>
                <w:rFonts w:hint="eastAsia" w:ascii="Times New Roman" w:hAnsi="Times New Roman"/>
                <w:b/>
                <w:bCs/>
                <w:sz w:val="22"/>
              </w:rPr>
              <w:t>年度</w:t>
            </w:r>
          </w:p>
        </w:tc>
        <w:tc>
          <w:tcPr>
            <w:tcW w:w="2299" w:type="dxa"/>
            <w:vAlign w:val="center"/>
          </w:tcPr>
          <w:p>
            <w:pPr>
              <w:spacing w:before="60" w:after="60"/>
              <w:jc w:val="center"/>
              <w:rPr>
                <w:rFonts w:ascii="Times New Roman" w:hAnsi="Times New Roman"/>
                <w:b/>
                <w:bCs/>
                <w:sz w:val="22"/>
              </w:rPr>
            </w:pPr>
            <w:r>
              <w:rPr>
                <w:rFonts w:hint="eastAsia" w:ascii="Times New Roman" w:hAnsi="Times New Roman"/>
                <w:b/>
                <w:bCs/>
                <w:sz w:val="22"/>
              </w:rPr>
              <w:t>产品排放量（tCO</w:t>
            </w:r>
            <w:r>
              <w:rPr>
                <w:rFonts w:hint="eastAsia" w:ascii="Times New Roman" w:hAnsi="Times New Roman"/>
                <w:b/>
                <w:bCs/>
                <w:sz w:val="22"/>
                <w:vertAlign w:val="subscript"/>
              </w:rPr>
              <w:t>2</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A</w:t>
            </w:r>
          </w:p>
        </w:tc>
        <w:tc>
          <w:tcPr>
            <w:tcW w:w="2645" w:type="dxa"/>
            <w:vAlign w:val="center"/>
          </w:tcPr>
          <w:p>
            <w:pPr>
              <w:spacing w:before="60" w:after="60"/>
              <w:jc w:val="center"/>
              <w:rPr>
                <w:rFonts w:ascii="Times New Roman" w:hAnsi="Times New Roman"/>
                <w:b/>
                <w:bCs/>
                <w:sz w:val="22"/>
              </w:rPr>
            </w:pPr>
            <w:r>
              <w:rPr>
                <w:rFonts w:hint="eastAsia" w:ascii="Times New Roman" w:hAnsi="Times New Roman"/>
                <w:b/>
                <w:bCs/>
                <w:sz w:val="22"/>
              </w:rPr>
              <w:t>产品产量（</w:t>
            </w:r>
            <w:r>
              <w:rPr>
                <w:rFonts w:ascii="Times New Roman" w:hAnsi="Times New Roman"/>
                <w:b/>
                <w:bCs/>
                <w:sz w:val="22"/>
              </w:rPr>
              <w:t>t</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B</w:t>
            </w:r>
          </w:p>
        </w:tc>
        <w:tc>
          <w:tcPr>
            <w:tcW w:w="2478" w:type="dxa"/>
            <w:vAlign w:val="center"/>
          </w:tcPr>
          <w:p>
            <w:pPr>
              <w:spacing w:before="60" w:after="60"/>
              <w:jc w:val="center"/>
              <w:rPr>
                <w:rFonts w:ascii="Times New Roman" w:hAnsi="Times New Roman"/>
                <w:b/>
                <w:bCs/>
                <w:sz w:val="22"/>
              </w:rPr>
            </w:pPr>
            <w:r>
              <w:rPr>
                <w:rFonts w:hint="eastAsia" w:ascii="Times New Roman" w:hAnsi="Times New Roman"/>
                <w:b/>
                <w:bCs/>
                <w:sz w:val="22"/>
              </w:rPr>
              <w:t>总排放量（tCO</w:t>
            </w:r>
            <w:r>
              <w:rPr>
                <w:rFonts w:hint="eastAsia" w:ascii="Times New Roman" w:hAnsi="Times New Roman"/>
                <w:b/>
                <w:bCs/>
                <w:sz w:val="22"/>
                <w:vertAlign w:val="subscript"/>
              </w:rPr>
              <w:t>2</w:t>
            </w:r>
            <w:r>
              <w:rPr>
                <w:rFonts w:ascii="Times New Roman" w:hAnsi="Times New Roman"/>
                <w:b/>
                <w:bCs/>
                <w:sz w:val="22"/>
              </w:rPr>
              <w:t>/t</w:t>
            </w:r>
            <w:r>
              <w:rPr>
                <w:rFonts w:hint="eastAsia" w:ascii="Times New Roman" w:hAnsi="Times New Roman"/>
                <w:b/>
                <w:bCs/>
                <w:sz w:val="22"/>
              </w:rPr>
              <w:t>）</w:t>
            </w:r>
          </w:p>
          <w:p>
            <w:pPr>
              <w:spacing w:before="60" w:after="60"/>
              <w:jc w:val="center"/>
              <w:rPr>
                <w:rFonts w:ascii="Times New Roman" w:hAnsi="Times New Roman"/>
                <w:b/>
                <w:bCs/>
                <w:sz w:val="22"/>
              </w:rPr>
            </w:pPr>
            <w:r>
              <w:rPr>
                <w:rFonts w:hint="eastAsia" w:ascii="Times New Roman" w:hAnsi="Times New Roman"/>
                <w:b/>
                <w:bCs/>
                <w:sz w:val="22"/>
              </w:rPr>
              <w:t>C=A</w:t>
            </w:r>
            <w:r>
              <w:rPr>
                <w:rFonts w:ascii="Times New Roman" w:hAnsi="Times New Roman"/>
                <w:b/>
                <w:bCs/>
                <w:sz w:val="22"/>
              </w:rPr>
              <w:t>/</w:t>
            </w:r>
            <w:r>
              <w:rPr>
                <w:rFonts w:hint="eastAsia" w:ascii="Times New Roman" w:hAnsi="Times New Roman"/>
                <w:b/>
                <w:bCs/>
                <w:sz w:val="22"/>
              </w:rPr>
              <w:t>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100" w:type="dxa"/>
            <w:vAlign w:val="center"/>
          </w:tcPr>
          <w:p>
            <w:pPr>
              <w:spacing w:before="60" w:after="60"/>
              <w:jc w:val="center"/>
              <w:rPr>
                <w:rFonts w:ascii="Times New Roman" w:hAnsi="Times New Roman"/>
                <w:sz w:val="22"/>
              </w:rPr>
            </w:pPr>
            <w:r>
              <w:rPr>
                <w:rFonts w:hint="eastAsia" w:ascii="Times New Roman" w:hAnsi="Times New Roman"/>
                <w:sz w:val="22"/>
              </w:rPr>
              <w:t>2019</w:t>
            </w:r>
          </w:p>
        </w:tc>
        <w:tc>
          <w:tcPr>
            <w:tcW w:w="2299" w:type="dxa"/>
            <w:vAlign w:val="center"/>
          </w:tcPr>
          <w:p>
            <w:pPr>
              <w:spacing w:before="60" w:after="60"/>
              <w:jc w:val="center"/>
              <w:rPr>
                <w:rFonts w:ascii="Times New Roman" w:hAnsi="Times New Roman"/>
                <w:sz w:val="22"/>
              </w:rPr>
            </w:pPr>
            <w:r>
              <w:rPr>
                <w:rFonts w:ascii="Times New Roman" w:hAnsi="Times New Roman"/>
                <w:sz w:val="22"/>
              </w:rPr>
              <w:t>1602402</w:t>
            </w:r>
          </w:p>
        </w:tc>
        <w:tc>
          <w:tcPr>
            <w:tcW w:w="2645" w:type="dxa"/>
            <w:vAlign w:val="center"/>
          </w:tcPr>
          <w:p>
            <w:pPr>
              <w:spacing w:before="60" w:after="60"/>
              <w:jc w:val="center"/>
              <w:rPr>
                <w:rFonts w:ascii="Times New Roman" w:hAnsi="Times New Roman"/>
                <w:sz w:val="22"/>
              </w:rPr>
            </w:pPr>
            <w:r>
              <w:rPr>
                <w:rFonts w:ascii="Times New Roman" w:hAnsi="Times New Roman"/>
                <w:sz w:val="22"/>
              </w:rPr>
              <w:t>864978.89</w:t>
            </w:r>
          </w:p>
        </w:tc>
        <w:tc>
          <w:tcPr>
            <w:tcW w:w="2478" w:type="dxa"/>
            <w:vAlign w:val="center"/>
          </w:tcPr>
          <w:p>
            <w:pPr>
              <w:spacing w:before="60" w:after="60"/>
              <w:jc w:val="center"/>
              <w:rPr>
                <w:rFonts w:ascii="Times New Roman" w:hAnsi="Times New Roman"/>
                <w:sz w:val="22"/>
              </w:rPr>
            </w:pPr>
            <w:r>
              <w:rPr>
                <w:rFonts w:ascii="Times New Roman" w:hAnsi="Times New Roman"/>
                <w:sz w:val="22"/>
              </w:rPr>
              <w:t>1.8525</w:t>
            </w:r>
          </w:p>
        </w:tc>
      </w:tr>
    </w:tbl>
    <w:p>
      <w:pPr>
        <w:spacing w:line="400" w:lineRule="exact"/>
        <w:rPr>
          <w:rFonts w:ascii="Times New Roman" w:hAnsi="Times New Roman"/>
          <w:sz w:val="24"/>
          <w:szCs w:val="24"/>
        </w:rPr>
      </w:pPr>
      <w:bookmarkStart w:id="51" w:name="_Toc384368366"/>
    </w:p>
    <w:p>
      <w:pPr>
        <w:widowControl/>
        <w:jc w:val="left"/>
        <w:rPr>
          <w:rFonts w:ascii="Times New Roman" w:hAnsi="Times New Roman" w:eastAsia="黑体" w:cs="黑体"/>
          <w:b/>
          <w:bCs/>
          <w:kern w:val="44"/>
          <w:sz w:val="32"/>
          <w:szCs w:val="32"/>
        </w:rPr>
      </w:pPr>
      <w:bookmarkStart w:id="52" w:name="_Toc36765030"/>
      <w:r>
        <w:rPr>
          <w:rFonts w:ascii="Times New Roman" w:hAnsi="Times New Roman" w:eastAsia="黑体" w:cs="黑体"/>
          <w:sz w:val="32"/>
          <w:szCs w:val="32"/>
        </w:rPr>
        <w:br w:type="page"/>
      </w:r>
    </w:p>
    <w:p>
      <w:pPr>
        <w:pStyle w:val="2"/>
        <w:spacing w:before="480" w:after="360" w:line="240" w:lineRule="auto"/>
        <w:jc w:val="left"/>
        <w:rPr>
          <w:rFonts w:ascii="Times New Roman" w:hAnsi="Times New Roman" w:eastAsia="黑体" w:cs="黑体"/>
          <w:sz w:val="32"/>
          <w:szCs w:val="32"/>
        </w:rPr>
      </w:pPr>
      <w:r>
        <w:rPr>
          <w:rFonts w:hint="eastAsia" w:ascii="Times New Roman" w:hAnsi="Times New Roman" w:eastAsia="黑体" w:cs="黑体"/>
          <w:sz w:val="32"/>
          <w:szCs w:val="32"/>
        </w:rPr>
        <w:t>3 盘查结论</w:t>
      </w:r>
      <w:bookmarkEnd w:id="52"/>
    </w:p>
    <w:bookmarkEnd w:id="51"/>
    <w:p>
      <w:pPr>
        <w:pStyle w:val="61"/>
        <w:numPr>
          <w:ilvl w:val="0"/>
          <w:numId w:val="2"/>
        </w:numPr>
        <w:spacing w:line="400" w:lineRule="exact"/>
        <w:ind w:firstLineChars="0"/>
        <w:jc w:val="left"/>
        <w:rPr>
          <w:rFonts w:ascii="Times New Roman" w:hAnsi="Times New Roman"/>
          <w:sz w:val="24"/>
          <w:szCs w:val="24"/>
        </w:rPr>
      </w:pPr>
      <w:r>
        <w:rPr>
          <w:rFonts w:hint="eastAsia" w:ascii="Times New Roman" w:hAnsi="Times New Roman"/>
          <w:sz w:val="24"/>
          <w:szCs w:val="24"/>
        </w:rPr>
        <w:t>安阳中盈化肥有限公司尿素产品碳足迹为</w:t>
      </w:r>
      <w:r>
        <w:rPr>
          <w:rFonts w:ascii="Times New Roman" w:hAnsi="Times New Roman"/>
          <w:sz w:val="24"/>
          <w:szCs w:val="24"/>
        </w:rPr>
        <w:t xml:space="preserve">1.8525 </w:t>
      </w:r>
      <w:r>
        <w:rPr>
          <w:rFonts w:hint="eastAsia" w:ascii="Times New Roman" w:hAnsi="Times New Roman"/>
          <w:sz w:val="24"/>
          <w:szCs w:val="24"/>
        </w:rPr>
        <w:t>tCO</w:t>
      </w:r>
      <w:r>
        <w:rPr>
          <w:rFonts w:hint="eastAsia" w:ascii="Times New Roman" w:hAnsi="Times New Roman"/>
          <w:sz w:val="24"/>
          <w:szCs w:val="24"/>
          <w:vertAlign w:val="subscript"/>
        </w:rPr>
        <w:t>2</w:t>
      </w:r>
      <w:r>
        <w:rPr>
          <w:rFonts w:hint="eastAsia" w:ascii="Times New Roman" w:hAnsi="Times New Roman"/>
          <w:sz w:val="24"/>
          <w:szCs w:val="24"/>
        </w:rPr>
        <w:t>/</w:t>
      </w:r>
      <w:r>
        <w:rPr>
          <w:rFonts w:ascii="Times New Roman" w:hAnsi="Times New Roman"/>
          <w:sz w:val="24"/>
          <w:szCs w:val="24"/>
        </w:rPr>
        <w:t>t</w:t>
      </w:r>
      <w:r>
        <w:rPr>
          <w:rFonts w:hint="eastAsia" w:ascii="Times New Roman" w:hAnsi="Times New Roman"/>
          <w:sz w:val="24"/>
          <w:szCs w:val="24"/>
        </w:rPr>
        <w:t>产品；</w:t>
      </w:r>
    </w:p>
    <w:p>
      <w:pPr>
        <w:pStyle w:val="61"/>
        <w:numPr>
          <w:ilvl w:val="0"/>
          <w:numId w:val="2"/>
        </w:numPr>
        <w:spacing w:line="400" w:lineRule="exact"/>
        <w:ind w:firstLineChars="0"/>
        <w:rPr>
          <w:rFonts w:ascii="Times New Roman" w:hAnsi="Times New Roman"/>
          <w:sz w:val="24"/>
          <w:szCs w:val="24"/>
        </w:rPr>
      </w:pPr>
      <w:r>
        <w:rPr>
          <w:rFonts w:hint="eastAsia" w:ascii="Times New Roman" w:hAnsi="Times New Roman"/>
          <w:sz w:val="24"/>
          <w:szCs w:val="24"/>
        </w:rPr>
        <w:t>由于无法统计原材料运输过程产生排放量，产品的运输</w:t>
      </w:r>
      <w:r>
        <w:rPr>
          <w:rFonts w:ascii="Times New Roman" w:hAnsi="Times New Roman"/>
          <w:sz w:val="24"/>
          <w:szCs w:val="24"/>
        </w:rPr>
        <w:t>、</w:t>
      </w:r>
      <w:r>
        <w:rPr>
          <w:rFonts w:hint="eastAsia" w:ascii="Times New Roman" w:hAnsi="Times New Roman"/>
          <w:sz w:val="24"/>
          <w:szCs w:val="24"/>
        </w:rPr>
        <w:t>使用和使用后废弃物处理的</w:t>
      </w:r>
      <w:r>
        <w:rPr>
          <w:rFonts w:ascii="Times New Roman" w:hAnsi="Times New Roman"/>
          <w:sz w:val="24"/>
          <w:szCs w:val="24"/>
        </w:rPr>
        <w:t>排放量</w:t>
      </w:r>
      <w:r>
        <w:rPr>
          <w:rFonts w:hint="eastAsia" w:ascii="Times New Roman" w:hAnsi="Times New Roman"/>
          <w:sz w:val="24"/>
          <w:szCs w:val="24"/>
        </w:rPr>
        <w:t>，因此</w:t>
      </w:r>
      <w:r>
        <w:rPr>
          <w:rFonts w:ascii="Times New Roman" w:hAnsi="Times New Roman"/>
          <w:sz w:val="24"/>
          <w:szCs w:val="24"/>
        </w:rPr>
        <w:t>本次碳足迹盘查边界以</w:t>
      </w:r>
      <w:r>
        <w:rPr>
          <w:rFonts w:hint="eastAsia" w:ascii="Times New Roman" w:hAnsi="Times New Roman"/>
          <w:sz w:val="24"/>
          <w:szCs w:val="24"/>
        </w:rPr>
        <w:t>原煤等原材料入厂开始至</w:t>
      </w:r>
      <w:r>
        <w:rPr>
          <w:rFonts w:ascii="Times New Roman" w:hAnsi="Times New Roman"/>
          <w:sz w:val="24"/>
          <w:szCs w:val="24"/>
        </w:rPr>
        <w:t>尿素出厂为</w:t>
      </w:r>
      <w:r>
        <w:rPr>
          <w:rFonts w:hint="eastAsia" w:ascii="Times New Roman" w:hAnsi="Times New Roman"/>
          <w:sz w:val="24"/>
          <w:szCs w:val="24"/>
        </w:rPr>
        <w:t>止的</w:t>
      </w:r>
      <w:r>
        <w:rPr>
          <w:rFonts w:ascii="Times New Roman" w:hAnsi="Times New Roman"/>
          <w:sz w:val="24"/>
          <w:szCs w:val="24"/>
        </w:rPr>
        <w:t>生产</w:t>
      </w:r>
      <w:r>
        <w:rPr>
          <w:rFonts w:hint="eastAsia" w:ascii="Times New Roman" w:hAnsi="Times New Roman"/>
          <w:sz w:val="24"/>
          <w:szCs w:val="24"/>
        </w:rPr>
        <w:t>阶段。</w:t>
      </w:r>
    </w:p>
    <w:p>
      <w:pPr>
        <w:pStyle w:val="61"/>
        <w:spacing w:line="400" w:lineRule="exact"/>
        <w:ind w:left="420" w:firstLine="0" w:firstLineChars="0"/>
        <w:jc w:val="left"/>
        <w:rPr>
          <w:rFonts w:ascii="Times New Roman" w:hAnsi="Times New Roman" w:eastAsia="仿宋_GB2312"/>
          <w:sz w:val="28"/>
          <w:szCs w:val="28"/>
        </w:rPr>
      </w:pPr>
    </w:p>
    <w:sectPr>
      <w:headerReference r:id="rId7" w:type="first"/>
      <w:pgSz w:w="11906" w:h="16838"/>
      <w:pgMar w:top="1440" w:right="1800" w:bottom="1440" w:left="1800"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auto"/>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fldChar w:fldCharType="begin"/>
    </w:r>
    <w:r>
      <w:instrText xml:space="preserve"> PAGE   \* MERGEFORMAT </w:instrText>
    </w:r>
    <w:r>
      <w:fldChar w:fldCharType="separate"/>
    </w:r>
    <w:r>
      <w:t>3</w:t>
    </w:r>
    <w:r>
      <w:fldChar w:fldCharType="end"/>
    </w:r>
  </w:p>
  <w:p>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w:rPr>
        <w:rFonts w:ascii="仿宋_GB2312" w:eastAsia="仿宋_GB2312"/>
      </w:rPr>
      <w:fldChar w:fldCharType="begin"/>
    </w:r>
    <w:r>
      <w:instrText xml:space="preserve"> PAGE   \* MERGEFORMAT </w:instrText>
    </w:r>
    <w:r>
      <w:fldChar w:fldCharType="separate"/>
    </w:r>
    <w:r>
      <w:t>8</w:t>
    </w:r>
    <w:r>
      <w:fldChar w:fldCharType="end"/>
    </w:r>
  </w:p>
  <w:p>
    <w:pPr>
      <w:pStyle w:val="1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rFonts w:hint="eastAsia" w:ascii="仿宋_GB2312" w:eastAsia="仿宋_GB2312"/>
      </w:rPr>
      <w:t>北京市企业（单位）二氧化碳排放盘查报告</w:t>
    </w:r>
    <w:r>
      <w:rPr>
        <w:rFonts w:ascii="仿宋_GB2312" w:eastAsia="仿宋_GB2312"/>
      </w:rPr>
      <w:tab/>
    </w:r>
    <w:r>
      <w:rPr>
        <w:rFonts w:ascii="仿宋_GB2312" w:eastAsia="仿宋_GB2312"/>
      </w:rPr>
      <w:tab/>
    </w:r>
    <w:r>
      <w:rPr>
        <w:rFonts w:hint="eastAsia" w:ascii="仿宋_GB2312" w:eastAsia="仿宋_GB2312"/>
      </w:rPr>
      <w:t>北京鉴衡认证中心有限公司</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jc w:val="left"/>
      <w:rPr>
        <w:rFonts w:ascii="仿宋_GB2312" w:eastAsia="仿宋_GB231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431F1D"/>
    <w:multiLevelType w:val="multilevel"/>
    <w:tmpl w:val="29431F1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62F5100B"/>
    <w:multiLevelType w:val="multilevel"/>
    <w:tmpl w:val="62F5100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noLineBreaksAfter w:lang="zh-CN" w:val="$([{£¥·‘“〈《「『【〔〖〝﹙﹛﹝＄（．［｛￡￥"/>
  <w:noLineBreaksBefore w:lang="zh-CN" w:val="!%),.:;&gt;?]}¢¨°·ˇˉ―‖’”…‰′″›℃∶、。〃〉》」』】〕〗〞︶︺︾﹀﹄﹚﹜﹞！＂％＇），．：；？］｀｜｝～￠"/>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7DB"/>
    <w:rsid w:val="000012FC"/>
    <w:rsid w:val="0000135F"/>
    <w:rsid w:val="00003F15"/>
    <w:rsid w:val="000054D6"/>
    <w:rsid w:val="00005D6F"/>
    <w:rsid w:val="000062DE"/>
    <w:rsid w:val="00012C2B"/>
    <w:rsid w:val="000153B1"/>
    <w:rsid w:val="00015517"/>
    <w:rsid w:val="00015B0E"/>
    <w:rsid w:val="00016A5E"/>
    <w:rsid w:val="00022627"/>
    <w:rsid w:val="00023509"/>
    <w:rsid w:val="00023EEC"/>
    <w:rsid w:val="00024B99"/>
    <w:rsid w:val="00026683"/>
    <w:rsid w:val="0002681D"/>
    <w:rsid w:val="000310C9"/>
    <w:rsid w:val="00031863"/>
    <w:rsid w:val="0003449D"/>
    <w:rsid w:val="00034914"/>
    <w:rsid w:val="00034C52"/>
    <w:rsid w:val="00037335"/>
    <w:rsid w:val="0004190A"/>
    <w:rsid w:val="00045833"/>
    <w:rsid w:val="00045EE2"/>
    <w:rsid w:val="00045F29"/>
    <w:rsid w:val="00046B0E"/>
    <w:rsid w:val="00046E8B"/>
    <w:rsid w:val="000556DB"/>
    <w:rsid w:val="0005701D"/>
    <w:rsid w:val="0005746C"/>
    <w:rsid w:val="00063E04"/>
    <w:rsid w:val="00064DD0"/>
    <w:rsid w:val="00064DE0"/>
    <w:rsid w:val="00066C50"/>
    <w:rsid w:val="00070343"/>
    <w:rsid w:val="00073152"/>
    <w:rsid w:val="00073444"/>
    <w:rsid w:val="00075637"/>
    <w:rsid w:val="0007622F"/>
    <w:rsid w:val="00077A32"/>
    <w:rsid w:val="000808F8"/>
    <w:rsid w:val="00081360"/>
    <w:rsid w:val="00083543"/>
    <w:rsid w:val="00083651"/>
    <w:rsid w:val="000841E9"/>
    <w:rsid w:val="00084530"/>
    <w:rsid w:val="000856F8"/>
    <w:rsid w:val="0008697C"/>
    <w:rsid w:val="0008697E"/>
    <w:rsid w:val="00087897"/>
    <w:rsid w:val="000911E4"/>
    <w:rsid w:val="000931FD"/>
    <w:rsid w:val="0009332F"/>
    <w:rsid w:val="00094105"/>
    <w:rsid w:val="00094860"/>
    <w:rsid w:val="00094CE7"/>
    <w:rsid w:val="00096EF7"/>
    <w:rsid w:val="00097C58"/>
    <w:rsid w:val="00097C7A"/>
    <w:rsid w:val="00097DBD"/>
    <w:rsid w:val="000A1187"/>
    <w:rsid w:val="000A1677"/>
    <w:rsid w:val="000A4D8A"/>
    <w:rsid w:val="000A749E"/>
    <w:rsid w:val="000B20C6"/>
    <w:rsid w:val="000B49F8"/>
    <w:rsid w:val="000B4B25"/>
    <w:rsid w:val="000B781B"/>
    <w:rsid w:val="000B7BFE"/>
    <w:rsid w:val="000C11F5"/>
    <w:rsid w:val="000C1611"/>
    <w:rsid w:val="000C4FA0"/>
    <w:rsid w:val="000C5F25"/>
    <w:rsid w:val="000C62BC"/>
    <w:rsid w:val="000D07ED"/>
    <w:rsid w:val="000D332E"/>
    <w:rsid w:val="000D58CD"/>
    <w:rsid w:val="000D704E"/>
    <w:rsid w:val="000E026D"/>
    <w:rsid w:val="000E3ED6"/>
    <w:rsid w:val="000E47AF"/>
    <w:rsid w:val="000E5B65"/>
    <w:rsid w:val="000F0960"/>
    <w:rsid w:val="000F0B7D"/>
    <w:rsid w:val="000F0B9C"/>
    <w:rsid w:val="000F31B9"/>
    <w:rsid w:val="000F4579"/>
    <w:rsid w:val="000F4B15"/>
    <w:rsid w:val="000F5E31"/>
    <w:rsid w:val="000F750E"/>
    <w:rsid w:val="000F79D2"/>
    <w:rsid w:val="000F7A1F"/>
    <w:rsid w:val="000F7E00"/>
    <w:rsid w:val="00101DFC"/>
    <w:rsid w:val="00103357"/>
    <w:rsid w:val="00103533"/>
    <w:rsid w:val="00105801"/>
    <w:rsid w:val="00111BC2"/>
    <w:rsid w:val="00112924"/>
    <w:rsid w:val="0011751F"/>
    <w:rsid w:val="00120635"/>
    <w:rsid w:val="00124723"/>
    <w:rsid w:val="00126090"/>
    <w:rsid w:val="001266FA"/>
    <w:rsid w:val="00126BB8"/>
    <w:rsid w:val="001301CF"/>
    <w:rsid w:val="001315F9"/>
    <w:rsid w:val="00135085"/>
    <w:rsid w:val="00135A88"/>
    <w:rsid w:val="00137235"/>
    <w:rsid w:val="001426C9"/>
    <w:rsid w:val="001432F1"/>
    <w:rsid w:val="00144A79"/>
    <w:rsid w:val="001450D0"/>
    <w:rsid w:val="00145548"/>
    <w:rsid w:val="001455C8"/>
    <w:rsid w:val="00146015"/>
    <w:rsid w:val="00147865"/>
    <w:rsid w:val="0015386C"/>
    <w:rsid w:val="00154BD1"/>
    <w:rsid w:val="00154CCD"/>
    <w:rsid w:val="0015568E"/>
    <w:rsid w:val="0016087C"/>
    <w:rsid w:val="0016210C"/>
    <w:rsid w:val="00164B5C"/>
    <w:rsid w:val="001656E4"/>
    <w:rsid w:val="0017026D"/>
    <w:rsid w:val="00170E4C"/>
    <w:rsid w:val="00172A27"/>
    <w:rsid w:val="00174B86"/>
    <w:rsid w:val="001758CC"/>
    <w:rsid w:val="0017607A"/>
    <w:rsid w:val="001762B4"/>
    <w:rsid w:val="00177563"/>
    <w:rsid w:val="001837D4"/>
    <w:rsid w:val="00184156"/>
    <w:rsid w:val="00184C40"/>
    <w:rsid w:val="00185EDA"/>
    <w:rsid w:val="001869BA"/>
    <w:rsid w:val="00186B71"/>
    <w:rsid w:val="001908A6"/>
    <w:rsid w:val="00191189"/>
    <w:rsid w:val="0019242E"/>
    <w:rsid w:val="00192A3B"/>
    <w:rsid w:val="00195F27"/>
    <w:rsid w:val="00197D77"/>
    <w:rsid w:val="001A0020"/>
    <w:rsid w:val="001A0CD8"/>
    <w:rsid w:val="001A19DB"/>
    <w:rsid w:val="001A28C9"/>
    <w:rsid w:val="001A3597"/>
    <w:rsid w:val="001A3B68"/>
    <w:rsid w:val="001A431F"/>
    <w:rsid w:val="001A4D0B"/>
    <w:rsid w:val="001A5511"/>
    <w:rsid w:val="001A5AE9"/>
    <w:rsid w:val="001A7446"/>
    <w:rsid w:val="001B0E1F"/>
    <w:rsid w:val="001B46AA"/>
    <w:rsid w:val="001B4D05"/>
    <w:rsid w:val="001B6717"/>
    <w:rsid w:val="001C457B"/>
    <w:rsid w:val="001C5784"/>
    <w:rsid w:val="001C5E39"/>
    <w:rsid w:val="001C735A"/>
    <w:rsid w:val="001D0E31"/>
    <w:rsid w:val="001E0E0F"/>
    <w:rsid w:val="001E2929"/>
    <w:rsid w:val="001E2982"/>
    <w:rsid w:val="001E6F78"/>
    <w:rsid w:val="001E78E0"/>
    <w:rsid w:val="001E79D0"/>
    <w:rsid w:val="001F037E"/>
    <w:rsid w:val="001F0995"/>
    <w:rsid w:val="001F3746"/>
    <w:rsid w:val="001F3A1A"/>
    <w:rsid w:val="001F7C67"/>
    <w:rsid w:val="001F7DED"/>
    <w:rsid w:val="00200972"/>
    <w:rsid w:val="00202324"/>
    <w:rsid w:val="00205328"/>
    <w:rsid w:val="0020660F"/>
    <w:rsid w:val="00214687"/>
    <w:rsid w:val="0021535E"/>
    <w:rsid w:val="0021643C"/>
    <w:rsid w:val="00216E11"/>
    <w:rsid w:val="0022137E"/>
    <w:rsid w:val="002250EE"/>
    <w:rsid w:val="0023079F"/>
    <w:rsid w:val="00230D96"/>
    <w:rsid w:val="00230FD7"/>
    <w:rsid w:val="00232EA7"/>
    <w:rsid w:val="00233862"/>
    <w:rsid w:val="00234CC9"/>
    <w:rsid w:val="00235004"/>
    <w:rsid w:val="002352B8"/>
    <w:rsid w:val="00237AFD"/>
    <w:rsid w:val="00237F2E"/>
    <w:rsid w:val="002401AB"/>
    <w:rsid w:val="00240464"/>
    <w:rsid w:val="00240CC7"/>
    <w:rsid w:val="00240D58"/>
    <w:rsid w:val="002414AB"/>
    <w:rsid w:val="00242392"/>
    <w:rsid w:val="00242596"/>
    <w:rsid w:val="002466DC"/>
    <w:rsid w:val="0025083A"/>
    <w:rsid w:val="00251945"/>
    <w:rsid w:val="00251F24"/>
    <w:rsid w:val="00251F6D"/>
    <w:rsid w:val="002567D2"/>
    <w:rsid w:val="002619FB"/>
    <w:rsid w:val="00261FBA"/>
    <w:rsid w:val="00263495"/>
    <w:rsid w:val="00264C8B"/>
    <w:rsid w:val="00265278"/>
    <w:rsid w:val="002668CA"/>
    <w:rsid w:val="00270B81"/>
    <w:rsid w:val="00274473"/>
    <w:rsid w:val="00275102"/>
    <w:rsid w:val="002770D7"/>
    <w:rsid w:val="002865A1"/>
    <w:rsid w:val="00287F08"/>
    <w:rsid w:val="002902B1"/>
    <w:rsid w:val="00291DD8"/>
    <w:rsid w:val="0029261D"/>
    <w:rsid w:val="00294A22"/>
    <w:rsid w:val="00295016"/>
    <w:rsid w:val="00297C68"/>
    <w:rsid w:val="002A1D8A"/>
    <w:rsid w:val="002A2237"/>
    <w:rsid w:val="002A4615"/>
    <w:rsid w:val="002A56FE"/>
    <w:rsid w:val="002B1B1C"/>
    <w:rsid w:val="002B1CE9"/>
    <w:rsid w:val="002B24BB"/>
    <w:rsid w:val="002B2D43"/>
    <w:rsid w:val="002B3D8D"/>
    <w:rsid w:val="002B76C5"/>
    <w:rsid w:val="002C087D"/>
    <w:rsid w:val="002C1923"/>
    <w:rsid w:val="002C25DB"/>
    <w:rsid w:val="002C449E"/>
    <w:rsid w:val="002C7BD3"/>
    <w:rsid w:val="002D04E3"/>
    <w:rsid w:val="002D09AA"/>
    <w:rsid w:val="002D0B35"/>
    <w:rsid w:val="002D118E"/>
    <w:rsid w:val="002D1B52"/>
    <w:rsid w:val="002D1E6C"/>
    <w:rsid w:val="002D239C"/>
    <w:rsid w:val="002D475A"/>
    <w:rsid w:val="002D59C4"/>
    <w:rsid w:val="002E0420"/>
    <w:rsid w:val="002E06B4"/>
    <w:rsid w:val="002E2C3C"/>
    <w:rsid w:val="002E30CD"/>
    <w:rsid w:val="002E4AC0"/>
    <w:rsid w:val="002E689F"/>
    <w:rsid w:val="002F1A96"/>
    <w:rsid w:val="002F1BAF"/>
    <w:rsid w:val="002F5AC3"/>
    <w:rsid w:val="002F5F9B"/>
    <w:rsid w:val="002F772A"/>
    <w:rsid w:val="0030039A"/>
    <w:rsid w:val="00301226"/>
    <w:rsid w:val="00301ED8"/>
    <w:rsid w:val="00302A69"/>
    <w:rsid w:val="003049DE"/>
    <w:rsid w:val="003107D0"/>
    <w:rsid w:val="00310FFE"/>
    <w:rsid w:val="00311BB4"/>
    <w:rsid w:val="00312784"/>
    <w:rsid w:val="003127C6"/>
    <w:rsid w:val="003133B2"/>
    <w:rsid w:val="003158AB"/>
    <w:rsid w:val="003167F0"/>
    <w:rsid w:val="00316B2B"/>
    <w:rsid w:val="00316F9A"/>
    <w:rsid w:val="0032060B"/>
    <w:rsid w:val="00320982"/>
    <w:rsid w:val="003218EB"/>
    <w:rsid w:val="0032194F"/>
    <w:rsid w:val="00322651"/>
    <w:rsid w:val="00323534"/>
    <w:rsid w:val="003235EF"/>
    <w:rsid w:val="003238F0"/>
    <w:rsid w:val="00323BE7"/>
    <w:rsid w:val="00324854"/>
    <w:rsid w:val="00324A36"/>
    <w:rsid w:val="00325615"/>
    <w:rsid w:val="003256DF"/>
    <w:rsid w:val="00326A4F"/>
    <w:rsid w:val="00332200"/>
    <w:rsid w:val="00332C6D"/>
    <w:rsid w:val="003411CF"/>
    <w:rsid w:val="00342324"/>
    <w:rsid w:val="00343591"/>
    <w:rsid w:val="003440CB"/>
    <w:rsid w:val="00344572"/>
    <w:rsid w:val="00345C61"/>
    <w:rsid w:val="00345F25"/>
    <w:rsid w:val="003472EF"/>
    <w:rsid w:val="00347A11"/>
    <w:rsid w:val="00350EA3"/>
    <w:rsid w:val="00350F05"/>
    <w:rsid w:val="003512BE"/>
    <w:rsid w:val="00351B51"/>
    <w:rsid w:val="00351DAE"/>
    <w:rsid w:val="0035323E"/>
    <w:rsid w:val="00353D64"/>
    <w:rsid w:val="00357F1A"/>
    <w:rsid w:val="00362EAF"/>
    <w:rsid w:val="003639A6"/>
    <w:rsid w:val="00364AE6"/>
    <w:rsid w:val="00365A74"/>
    <w:rsid w:val="00365B60"/>
    <w:rsid w:val="00366307"/>
    <w:rsid w:val="00370760"/>
    <w:rsid w:val="00370D60"/>
    <w:rsid w:val="00371269"/>
    <w:rsid w:val="0037244A"/>
    <w:rsid w:val="003729E2"/>
    <w:rsid w:val="00373874"/>
    <w:rsid w:val="00375F01"/>
    <w:rsid w:val="00376E5A"/>
    <w:rsid w:val="003773DF"/>
    <w:rsid w:val="0038028C"/>
    <w:rsid w:val="00380DBA"/>
    <w:rsid w:val="00382414"/>
    <w:rsid w:val="0038301C"/>
    <w:rsid w:val="00383791"/>
    <w:rsid w:val="0038382A"/>
    <w:rsid w:val="00385CD4"/>
    <w:rsid w:val="00387DBB"/>
    <w:rsid w:val="00390BEB"/>
    <w:rsid w:val="00390DF5"/>
    <w:rsid w:val="003914CB"/>
    <w:rsid w:val="003926DB"/>
    <w:rsid w:val="00392FAD"/>
    <w:rsid w:val="003939F0"/>
    <w:rsid w:val="0039462C"/>
    <w:rsid w:val="0039528A"/>
    <w:rsid w:val="00396D64"/>
    <w:rsid w:val="00397E30"/>
    <w:rsid w:val="003A0BE8"/>
    <w:rsid w:val="003A1FFD"/>
    <w:rsid w:val="003A2EB6"/>
    <w:rsid w:val="003A5A9E"/>
    <w:rsid w:val="003A5BD8"/>
    <w:rsid w:val="003B0D1E"/>
    <w:rsid w:val="003B1998"/>
    <w:rsid w:val="003B4709"/>
    <w:rsid w:val="003B484A"/>
    <w:rsid w:val="003B5323"/>
    <w:rsid w:val="003B702E"/>
    <w:rsid w:val="003B7140"/>
    <w:rsid w:val="003C21A8"/>
    <w:rsid w:val="003C2383"/>
    <w:rsid w:val="003C33F4"/>
    <w:rsid w:val="003C3734"/>
    <w:rsid w:val="003C5705"/>
    <w:rsid w:val="003D0329"/>
    <w:rsid w:val="003D0B4C"/>
    <w:rsid w:val="003D1EBE"/>
    <w:rsid w:val="003D4457"/>
    <w:rsid w:val="003D5C41"/>
    <w:rsid w:val="003D5D26"/>
    <w:rsid w:val="003D5FF4"/>
    <w:rsid w:val="003D6E2E"/>
    <w:rsid w:val="003D7637"/>
    <w:rsid w:val="003E12A6"/>
    <w:rsid w:val="003E28E8"/>
    <w:rsid w:val="003E4B8D"/>
    <w:rsid w:val="003E7473"/>
    <w:rsid w:val="003F1A41"/>
    <w:rsid w:val="003F1BE1"/>
    <w:rsid w:val="003F38FE"/>
    <w:rsid w:val="003F40F7"/>
    <w:rsid w:val="003F42A4"/>
    <w:rsid w:val="003F58BE"/>
    <w:rsid w:val="003F6B8F"/>
    <w:rsid w:val="003F6BB0"/>
    <w:rsid w:val="003F6D95"/>
    <w:rsid w:val="00402271"/>
    <w:rsid w:val="00402891"/>
    <w:rsid w:val="00403D3A"/>
    <w:rsid w:val="00404D37"/>
    <w:rsid w:val="004059C7"/>
    <w:rsid w:val="004068F1"/>
    <w:rsid w:val="0041007A"/>
    <w:rsid w:val="00411A32"/>
    <w:rsid w:val="004148AE"/>
    <w:rsid w:val="00417E18"/>
    <w:rsid w:val="00421E54"/>
    <w:rsid w:val="00425D68"/>
    <w:rsid w:val="00425EB6"/>
    <w:rsid w:val="00426116"/>
    <w:rsid w:val="00430008"/>
    <w:rsid w:val="004311E5"/>
    <w:rsid w:val="00433513"/>
    <w:rsid w:val="00433B54"/>
    <w:rsid w:val="00434198"/>
    <w:rsid w:val="0044198C"/>
    <w:rsid w:val="00445098"/>
    <w:rsid w:val="00452472"/>
    <w:rsid w:val="00454184"/>
    <w:rsid w:val="0045593E"/>
    <w:rsid w:val="004562C1"/>
    <w:rsid w:val="0045752A"/>
    <w:rsid w:val="00460604"/>
    <w:rsid w:val="004606F2"/>
    <w:rsid w:val="00461A3B"/>
    <w:rsid w:val="004630F3"/>
    <w:rsid w:val="00463EDB"/>
    <w:rsid w:val="00463FFF"/>
    <w:rsid w:val="00470408"/>
    <w:rsid w:val="004707CB"/>
    <w:rsid w:val="004722FE"/>
    <w:rsid w:val="00473EC8"/>
    <w:rsid w:val="00477A1C"/>
    <w:rsid w:val="00481661"/>
    <w:rsid w:val="004832EB"/>
    <w:rsid w:val="004837CA"/>
    <w:rsid w:val="00483D0E"/>
    <w:rsid w:val="00486CC5"/>
    <w:rsid w:val="004871A3"/>
    <w:rsid w:val="00487C0E"/>
    <w:rsid w:val="00490F0F"/>
    <w:rsid w:val="00492902"/>
    <w:rsid w:val="004935CC"/>
    <w:rsid w:val="004941B1"/>
    <w:rsid w:val="0049428B"/>
    <w:rsid w:val="00495DF3"/>
    <w:rsid w:val="00495F4C"/>
    <w:rsid w:val="00496445"/>
    <w:rsid w:val="004A03FC"/>
    <w:rsid w:val="004A11EF"/>
    <w:rsid w:val="004A2340"/>
    <w:rsid w:val="004A240D"/>
    <w:rsid w:val="004A2876"/>
    <w:rsid w:val="004A47A9"/>
    <w:rsid w:val="004A4CA9"/>
    <w:rsid w:val="004B2A11"/>
    <w:rsid w:val="004B666C"/>
    <w:rsid w:val="004B6B94"/>
    <w:rsid w:val="004B74E2"/>
    <w:rsid w:val="004C13C2"/>
    <w:rsid w:val="004C59A1"/>
    <w:rsid w:val="004C5F67"/>
    <w:rsid w:val="004C6C23"/>
    <w:rsid w:val="004C7F20"/>
    <w:rsid w:val="004D17E9"/>
    <w:rsid w:val="004D1F13"/>
    <w:rsid w:val="004D2036"/>
    <w:rsid w:val="004D2805"/>
    <w:rsid w:val="004D31DB"/>
    <w:rsid w:val="004D7357"/>
    <w:rsid w:val="004E4B45"/>
    <w:rsid w:val="004E5609"/>
    <w:rsid w:val="004E6182"/>
    <w:rsid w:val="004E65BC"/>
    <w:rsid w:val="004E686E"/>
    <w:rsid w:val="004F2B83"/>
    <w:rsid w:val="004F3A23"/>
    <w:rsid w:val="004F3A96"/>
    <w:rsid w:val="004F3DD4"/>
    <w:rsid w:val="004F5483"/>
    <w:rsid w:val="004F5DB2"/>
    <w:rsid w:val="004F7E85"/>
    <w:rsid w:val="0050245A"/>
    <w:rsid w:val="005069E0"/>
    <w:rsid w:val="00511090"/>
    <w:rsid w:val="005119AD"/>
    <w:rsid w:val="005122AD"/>
    <w:rsid w:val="00513952"/>
    <w:rsid w:val="00521D13"/>
    <w:rsid w:val="00523186"/>
    <w:rsid w:val="00525193"/>
    <w:rsid w:val="00525B12"/>
    <w:rsid w:val="00525C2B"/>
    <w:rsid w:val="00525FA0"/>
    <w:rsid w:val="0052621D"/>
    <w:rsid w:val="0052660B"/>
    <w:rsid w:val="00530A04"/>
    <w:rsid w:val="005325AF"/>
    <w:rsid w:val="00533F60"/>
    <w:rsid w:val="0053603F"/>
    <w:rsid w:val="00536191"/>
    <w:rsid w:val="00536F72"/>
    <w:rsid w:val="00537F96"/>
    <w:rsid w:val="00541EF7"/>
    <w:rsid w:val="005451C1"/>
    <w:rsid w:val="005463CB"/>
    <w:rsid w:val="00547C52"/>
    <w:rsid w:val="00547D26"/>
    <w:rsid w:val="00551162"/>
    <w:rsid w:val="005520C9"/>
    <w:rsid w:val="0055316E"/>
    <w:rsid w:val="005533EE"/>
    <w:rsid w:val="00555894"/>
    <w:rsid w:val="0055696E"/>
    <w:rsid w:val="00557311"/>
    <w:rsid w:val="00557E13"/>
    <w:rsid w:val="00560C92"/>
    <w:rsid w:val="005617AA"/>
    <w:rsid w:val="00562C4B"/>
    <w:rsid w:val="0056302F"/>
    <w:rsid w:val="00563C36"/>
    <w:rsid w:val="00563FC4"/>
    <w:rsid w:val="00566B4E"/>
    <w:rsid w:val="0056746E"/>
    <w:rsid w:val="00572361"/>
    <w:rsid w:val="00573829"/>
    <w:rsid w:val="005740EE"/>
    <w:rsid w:val="00575A52"/>
    <w:rsid w:val="005762E8"/>
    <w:rsid w:val="00577E2C"/>
    <w:rsid w:val="00580AAE"/>
    <w:rsid w:val="00584B2F"/>
    <w:rsid w:val="005856D5"/>
    <w:rsid w:val="00585D30"/>
    <w:rsid w:val="00591A1D"/>
    <w:rsid w:val="005921DA"/>
    <w:rsid w:val="005938B6"/>
    <w:rsid w:val="005A00B8"/>
    <w:rsid w:val="005A2877"/>
    <w:rsid w:val="005A2B1D"/>
    <w:rsid w:val="005A340C"/>
    <w:rsid w:val="005A420F"/>
    <w:rsid w:val="005A57D9"/>
    <w:rsid w:val="005A6575"/>
    <w:rsid w:val="005B050C"/>
    <w:rsid w:val="005B0736"/>
    <w:rsid w:val="005B0938"/>
    <w:rsid w:val="005B129C"/>
    <w:rsid w:val="005B1DDE"/>
    <w:rsid w:val="005B20EE"/>
    <w:rsid w:val="005B5A00"/>
    <w:rsid w:val="005B5ACD"/>
    <w:rsid w:val="005B7E8A"/>
    <w:rsid w:val="005C0126"/>
    <w:rsid w:val="005C031B"/>
    <w:rsid w:val="005C190C"/>
    <w:rsid w:val="005C27AA"/>
    <w:rsid w:val="005C2F7B"/>
    <w:rsid w:val="005C34B7"/>
    <w:rsid w:val="005C373D"/>
    <w:rsid w:val="005C39E1"/>
    <w:rsid w:val="005C3B10"/>
    <w:rsid w:val="005C4493"/>
    <w:rsid w:val="005C6D75"/>
    <w:rsid w:val="005C6D99"/>
    <w:rsid w:val="005D6CAA"/>
    <w:rsid w:val="005E12B2"/>
    <w:rsid w:val="005E3605"/>
    <w:rsid w:val="005F195A"/>
    <w:rsid w:val="005F1EE9"/>
    <w:rsid w:val="005F361D"/>
    <w:rsid w:val="005F3DF4"/>
    <w:rsid w:val="005F46A6"/>
    <w:rsid w:val="005F4A0D"/>
    <w:rsid w:val="005F5FAD"/>
    <w:rsid w:val="005F7FF8"/>
    <w:rsid w:val="00600D4D"/>
    <w:rsid w:val="00604907"/>
    <w:rsid w:val="00607831"/>
    <w:rsid w:val="006079C7"/>
    <w:rsid w:val="006103B3"/>
    <w:rsid w:val="00610A39"/>
    <w:rsid w:val="00612C45"/>
    <w:rsid w:val="006135C5"/>
    <w:rsid w:val="00614CBB"/>
    <w:rsid w:val="0061521E"/>
    <w:rsid w:val="00615DDF"/>
    <w:rsid w:val="00616989"/>
    <w:rsid w:val="00616B78"/>
    <w:rsid w:val="006172D2"/>
    <w:rsid w:val="00620B2D"/>
    <w:rsid w:val="00620D41"/>
    <w:rsid w:val="0062222E"/>
    <w:rsid w:val="00624FF4"/>
    <w:rsid w:val="0062525C"/>
    <w:rsid w:val="006271BF"/>
    <w:rsid w:val="0063034E"/>
    <w:rsid w:val="00630649"/>
    <w:rsid w:val="00634395"/>
    <w:rsid w:val="00634401"/>
    <w:rsid w:val="006358B3"/>
    <w:rsid w:val="0063597A"/>
    <w:rsid w:val="006362C2"/>
    <w:rsid w:val="006368B5"/>
    <w:rsid w:val="0064213E"/>
    <w:rsid w:val="006424EE"/>
    <w:rsid w:val="00645196"/>
    <w:rsid w:val="00645D2E"/>
    <w:rsid w:val="006464EE"/>
    <w:rsid w:val="00646DDA"/>
    <w:rsid w:val="006533A1"/>
    <w:rsid w:val="006538D0"/>
    <w:rsid w:val="00653DDB"/>
    <w:rsid w:val="00654F07"/>
    <w:rsid w:val="006629C0"/>
    <w:rsid w:val="0066518F"/>
    <w:rsid w:val="006657E8"/>
    <w:rsid w:val="00665FCE"/>
    <w:rsid w:val="00666E42"/>
    <w:rsid w:val="0067158F"/>
    <w:rsid w:val="00671BD4"/>
    <w:rsid w:val="00672524"/>
    <w:rsid w:val="0067614A"/>
    <w:rsid w:val="0067647A"/>
    <w:rsid w:val="0067664F"/>
    <w:rsid w:val="006773EB"/>
    <w:rsid w:val="00680059"/>
    <w:rsid w:val="0068121F"/>
    <w:rsid w:val="0068221F"/>
    <w:rsid w:val="006824D1"/>
    <w:rsid w:val="00683043"/>
    <w:rsid w:val="00684BBA"/>
    <w:rsid w:val="00685057"/>
    <w:rsid w:val="00686D9A"/>
    <w:rsid w:val="00686F35"/>
    <w:rsid w:val="00690813"/>
    <w:rsid w:val="006914DB"/>
    <w:rsid w:val="0069651F"/>
    <w:rsid w:val="00697899"/>
    <w:rsid w:val="00697F63"/>
    <w:rsid w:val="006A23E3"/>
    <w:rsid w:val="006A25FD"/>
    <w:rsid w:val="006A3642"/>
    <w:rsid w:val="006A77B9"/>
    <w:rsid w:val="006A7C38"/>
    <w:rsid w:val="006B0FF2"/>
    <w:rsid w:val="006B13C6"/>
    <w:rsid w:val="006B1B88"/>
    <w:rsid w:val="006B22EA"/>
    <w:rsid w:val="006B2B97"/>
    <w:rsid w:val="006B5317"/>
    <w:rsid w:val="006B5655"/>
    <w:rsid w:val="006B5F07"/>
    <w:rsid w:val="006B7853"/>
    <w:rsid w:val="006C0F15"/>
    <w:rsid w:val="006C2940"/>
    <w:rsid w:val="006C44F7"/>
    <w:rsid w:val="006C6CBD"/>
    <w:rsid w:val="006C7714"/>
    <w:rsid w:val="006D00C7"/>
    <w:rsid w:val="006D0974"/>
    <w:rsid w:val="006D0EEF"/>
    <w:rsid w:val="006D17BF"/>
    <w:rsid w:val="006D1A75"/>
    <w:rsid w:val="006D6A5C"/>
    <w:rsid w:val="006D7878"/>
    <w:rsid w:val="006D7F5A"/>
    <w:rsid w:val="006E0909"/>
    <w:rsid w:val="006E098B"/>
    <w:rsid w:val="006E0BED"/>
    <w:rsid w:val="006E0DEE"/>
    <w:rsid w:val="006E360D"/>
    <w:rsid w:val="006E48BB"/>
    <w:rsid w:val="006E50E7"/>
    <w:rsid w:val="006E5182"/>
    <w:rsid w:val="006E55D9"/>
    <w:rsid w:val="006F0686"/>
    <w:rsid w:val="006F7A14"/>
    <w:rsid w:val="00702A28"/>
    <w:rsid w:val="00702EDC"/>
    <w:rsid w:val="00703CA5"/>
    <w:rsid w:val="00704774"/>
    <w:rsid w:val="00704A53"/>
    <w:rsid w:val="0070576B"/>
    <w:rsid w:val="00705CDF"/>
    <w:rsid w:val="0070649A"/>
    <w:rsid w:val="007065D1"/>
    <w:rsid w:val="00707593"/>
    <w:rsid w:val="00716035"/>
    <w:rsid w:val="0071751C"/>
    <w:rsid w:val="00722CF6"/>
    <w:rsid w:val="00724166"/>
    <w:rsid w:val="007254AC"/>
    <w:rsid w:val="00725928"/>
    <w:rsid w:val="007267D0"/>
    <w:rsid w:val="00730120"/>
    <w:rsid w:val="00731F37"/>
    <w:rsid w:val="00737AE8"/>
    <w:rsid w:val="007401BD"/>
    <w:rsid w:val="0074183E"/>
    <w:rsid w:val="00741ACE"/>
    <w:rsid w:val="0074427A"/>
    <w:rsid w:val="0074621E"/>
    <w:rsid w:val="00746DDD"/>
    <w:rsid w:val="007472A6"/>
    <w:rsid w:val="00750443"/>
    <w:rsid w:val="00751753"/>
    <w:rsid w:val="00753733"/>
    <w:rsid w:val="00753900"/>
    <w:rsid w:val="00755956"/>
    <w:rsid w:val="00756367"/>
    <w:rsid w:val="0076024B"/>
    <w:rsid w:val="007604BF"/>
    <w:rsid w:val="00763851"/>
    <w:rsid w:val="00765DCA"/>
    <w:rsid w:val="007672C6"/>
    <w:rsid w:val="00771BF0"/>
    <w:rsid w:val="00772643"/>
    <w:rsid w:val="00772A8E"/>
    <w:rsid w:val="00773410"/>
    <w:rsid w:val="00777B6F"/>
    <w:rsid w:val="0078306F"/>
    <w:rsid w:val="00783757"/>
    <w:rsid w:val="007838FD"/>
    <w:rsid w:val="00783C66"/>
    <w:rsid w:val="00784E5A"/>
    <w:rsid w:val="00785595"/>
    <w:rsid w:val="00786856"/>
    <w:rsid w:val="00787BF0"/>
    <w:rsid w:val="00790130"/>
    <w:rsid w:val="00790FD3"/>
    <w:rsid w:val="00791184"/>
    <w:rsid w:val="0079303F"/>
    <w:rsid w:val="00793783"/>
    <w:rsid w:val="00794362"/>
    <w:rsid w:val="00795CC0"/>
    <w:rsid w:val="007968D7"/>
    <w:rsid w:val="0079791C"/>
    <w:rsid w:val="007A0689"/>
    <w:rsid w:val="007A2005"/>
    <w:rsid w:val="007A28EE"/>
    <w:rsid w:val="007A2D5F"/>
    <w:rsid w:val="007A56EB"/>
    <w:rsid w:val="007B106A"/>
    <w:rsid w:val="007B5DB7"/>
    <w:rsid w:val="007B7DF7"/>
    <w:rsid w:val="007B7EA7"/>
    <w:rsid w:val="007C213B"/>
    <w:rsid w:val="007C313B"/>
    <w:rsid w:val="007C3A30"/>
    <w:rsid w:val="007C5D53"/>
    <w:rsid w:val="007D166E"/>
    <w:rsid w:val="007D2BAC"/>
    <w:rsid w:val="007D3F11"/>
    <w:rsid w:val="007D45B6"/>
    <w:rsid w:val="007D5095"/>
    <w:rsid w:val="007D6BCA"/>
    <w:rsid w:val="007D7C91"/>
    <w:rsid w:val="007E4A53"/>
    <w:rsid w:val="007E5231"/>
    <w:rsid w:val="007E5425"/>
    <w:rsid w:val="007E5D59"/>
    <w:rsid w:val="007F27D7"/>
    <w:rsid w:val="007F3399"/>
    <w:rsid w:val="00804BBF"/>
    <w:rsid w:val="00806964"/>
    <w:rsid w:val="008076EE"/>
    <w:rsid w:val="00812583"/>
    <w:rsid w:val="00812C54"/>
    <w:rsid w:val="008133B0"/>
    <w:rsid w:val="0081340F"/>
    <w:rsid w:val="00813BED"/>
    <w:rsid w:val="00814778"/>
    <w:rsid w:val="008156BA"/>
    <w:rsid w:val="00816142"/>
    <w:rsid w:val="0081671E"/>
    <w:rsid w:val="00817047"/>
    <w:rsid w:val="00817311"/>
    <w:rsid w:val="00817D5F"/>
    <w:rsid w:val="008206A5"/>
    <w:rsid w:val="00821078"/>
    <w:rsid w:val="00821CE2"/>
    <w:rsid w:val="00826622"/>
    <w:rsid w:val="00832719"/>
    <w:rsid w:val="00832E70"/>
    <w:rsid w:val="008415D5"/>
    <w:rsid w:val="0084169D"/>
    <w:rsid w:val="00841CB8"/>
    <w:rsid w:val="008420D7"/>
    <w:rsid w:val="008434A8"/>
    <w:rsid w:val="0084378A"/>
    <w:rsid w:val="00844BD9"/>
    <w:rsid w:val="0084509F"/>
    <w:rsid w:val="00845887"/>
    <w:rsid w:val="00846F78"/>
    <w:rsid w:val="00847CD1"/>
    <w:rsid w:val="00851183"/>
    <w:rsid w:val="00853549"/>
    <w:rsid w:val="00853894"/>
    <w:rsid w:val="00854EA2"/>
    <w:rsid w:val="00855464"/>
    <w:rsid w:val="008565D2"/>
    <w:rsid w:val="00856632"/>
    <w:rsid w:val="00856700"/>
    <w:rsid w:val="00856A0E"/>
    <w:rsid w:val="008610E7"/>
    <w:rsid w:val="008619EA"/>
    <w:rsid w:val="00861D4C"/>
    <w:rsid w:val="00862522"/>
    <w:rsid w:val="00862A45"/>
    <w:rsid w:val="00864441"/>
    <w:rsid w:val="00865E0D"/>
    <w:rsid w:val="008669EB"/>
    <w:rsid w:val="00870859"/>
    <w:rsid w:val="00871B35"/>
    <w:rsid w:val="00871D53"/>
    <w:rsid w:val="00873475"/>
    <w:rsid w:val="00880018"/>
    <w:rsid w:val="00880708"/>
    <w:rsid w:val="008829B7"/>
    <w:rsid w:val="008866D7"/>
    <w:rsid w:val="008867BF"/>
    <w:rsid w:val="00893986"/>
    <w:rsid w:val="00894994"/>
    <w:rsid w:val="00894CE7"/>
    <w:rsid w:val="008953EB"/>
    <w:rsid w:val="00895407"/>
    <w:rsid w:val="008A0266"/>
    <w:rsid w:val="008A7111"/>
    <w:rsid w:val="008B3C7F"/>
    <w:rsid w:val="008B50E7"/>
    <w:rsid w:val="008B56D2"/>
    <w:rsid w:val="008B5895"/>
    <w:rsid w:val="008B60B7"/>
    <w:rsid w:val="008C4103"/>
    <w:rsid w:val="008C416B"/>
    <w:rsid w:val="008D3CFC"/>
    <w:rsid w:val="008D580D"/>
    <w:rsid w:val="008D591C"/>
    <w:rsid w:val="008D603B"/>
    <w:rsid w:val="008D7C5D"/>
    <w:rsid w:val="008E0127"/>
    <w:rsid w:val="008E0661"/>
    <w:rsid w:val="008E099A"/>
    <w:rsid w:val="008E0B30"/>
    <w:rsid w:val="008E0BAC"/>
    <w:rsid w:val="008E1D0D"/>
    <w:rsid w:val="008E1E51"/>
    <w:rsid w:val="008E21CD"/>
    <w:rsid w:val="008E39EC"/>
    <w:rsid w:val="008E6950"/>
    <w:rsid w:val="008E73B2"/>
    <w:rsid w:val="008E79D1"/>
    <w:rsid w:val="008E7C4D"/>
    <w:rsid w:val="008E7CAE"/>
    <w:rsid w:val="008F0AFC"/>
    <w:rsid w:val="008F1F48"/>
    <w:rsid w:val="008F2F2F"/>
    <w:rsid w:val="008F4813"/>
    <w:rsid w:val="008F4BF8"/>
    <w:rsid w:val="008F59C2"/>
    <w:rsid w:val="00900F87"/>
    <w:rsid w:val="00902734"/>
    <w:rsid w:val="00904ED2"/>
    <w:rsid w:val="00905D35"/>
    <w:rsid w:val="00906D01"/>
    <w:rsid w:val="00910F0D"/>
    <w:rsid w:val="00911E4E"/>
    <w:rsid w:val="0091322A"/>
    <w:rsid w:val="00913C1E"/>
    <w:rsid w:val="00920B74"/>
    <w:rsid w:val="009226EB"/>
    <w:rsid w:val="00923C1A"/>
    <w:rsid w:val="00924230"/>
    <w:rsid w:val="0092738E"/>
    <w:rsid w:val="0092747D"/>
    <w:rsid w:val="00927747"/>
    <w:rsid w:val="00930028"/>
    <w:rsid w:val="0093003E"/>
    <w:rsid w:val="00930938"/>
    <w:rsid w:val="0093143B"/>
    <w:rsid w:val="0093282F"/>
    <w:rsid w:val="00934109"/>
    <w:rsid w:val="00935C17"/>
    <w:rsid w:val="00936C32"/>
    <w:rsid w:val="00936CD2"/>
    <w:rsid w:val="009370AC"/>
    <w:rsid w:val="009373D8"/>
    <w:rsid w:val="0094462F"/>
    <w:rsid w:val="0094482D"/>
    <w:rsid w:val="00945DE5"/>
    <w:rsid w:val="00946520"/>
    <w:rsid w:val="00950F44"/>
    <w:rsid w:val="00952A2C"/>
    <w:rsid w:val="0095307E"/>
    <w:rsid w:val="00955CE9"/>
    <w:rsid w:val="00956A05"/>
    <w:rsid w:val="00957A5B"/>
    <w:rsid w:val="009604CC"/>
    <w:rsid w:val="009607F0"/>
    <w:rsid w:val="00960AE3"/>
    <w:rsid w:val="00961014"/>
    <w:rsid w:val="00961120"/>
    <w:rsid w:val="00961373"/>
    <w:rsid w:val="00962068"/>
    <w:rsid w:val="009621F7"/>
    <w:rsid w:val="009627E4"/>
    <w:rsid w:val="00963589"/>
    <w:rsid w:val="00963CB3"/>
    <w:rsid w:val="009643A2"/>
    <w:rsid w:val="00964CE9"/>
    <w:rsid w:val="00965193"/>
    <w:rsid w:val="00965248"/>
    <w:rsid w:val="00966CCD"/>
    <w:rsid w:val="00966F3D"/>
    <w:rsid w:val="0096732D"/>
    <w:rsid w:val="009712FD"/>
    <w:rsid w:val="0097471A"/>
    <w:rsid w:val="00974F24"/>
    <w:rsid w:val="009765E4"/>
    <w:rsid w:val="00976E98"/>
    <w:rsid w:val="00977071"/>
    <w:rsid w:val="0097715E"/>
    <w:rsid w:val="0097732C"/>
    <w:rsid w:val="009804AF"/>
    <w:rsid w:val="00980895"/>
    <w:rsid w:val="00982093"/>
    <w:rsid w:val="00982D06"/>
    <w:rsid w:val="00983C5F"/>
    <w:rsid w:val="009843B9"/>
    <w:rsid w:val="00984C3D"/>
    <w:rsid w:val="00986A24"/>
    <w:rsid w:val="00991C20"/>
    <w:rsid w:val="009943B5"/>
    <w:rsid w:val="00994674"/>
    <w:rsid w:val="009A0D07"/>
    <w:rsid w:val="009A0E03"/>
    <w:rsid w:val="009A1DC3"/>
    <w:rsid w:val="009A2898"/>
    <w:rsid w:val="009A2915"/>
    <w:rsid w:val="009A4776"/>
    <w:rsid w:val="009A4FCD"/>
    <w:rsid w:val="009A5CC4"/>
    <w:rsid w:val="009A761B"/>
    <w:rsid w:val="009B1599"/>
    <w:rsid w:val="009B2989"/>
    <w:rsid w:val="009B4CC5"/>
    <w:rsid w:val="009B5196"/>
    <w:rsid w:val="009B5212"/>
    <w:rsid w:val="009B5347"/>
    <w:rsid w:val="009B7297"/>
    <w:rsid w:val="009C1F44"/>
    <w:rsid w:val="009C24D5"/>
    <w:rsid w:val="009C4AC0"/>
    <w:rsid w:val="009C5831"/>
    <w:rsid w:val="009C5C03"/>
    <w:rsid w:val="009C5D06"/>
    <w:rsid w:val="009C5F69"/>
    <w:rsid w:val="009C63F8"/>
    <w:rsid w:val="009C6AB5"/>
    <w:rsid w:val="009C7930"/>
    <w:rsid w:val="009C7CFF"/>
    <w:rsid w:val="009D1882"/>
    <w:rsid w:val="009D210E"/>
    <w:rsid w:val="009D2429"/>
    <w:rsid w:val="009D303D"/>
    <w:rsid w:val="009D3A30"/>
    <w:rsid w:val="009D3E72"/>
    <w:rsid w:val="009D3EA2"/>
    <w:rsid w:val="009D646A"/>
    <w:rsid w:val="009D6E71"/>
    <w:rsid w:val="009D725D"/>
    <w:rsid w:val="009E5FE7"/>
    <w:rsid w:val="009E6619"/>
    <w:rsid w:val="009E75FF"/>
    <w:rsid w:val="009F4588"/>
    <w:rsid w:val="009F4CA0"/>
    <w:rsid w:val="009F5742"/>
    <w:rsid w:val="009F5A8C"/>
    <w:rsid w:val="009F5F6F"/>
    <w:rsid w:val="009F5F7E"/>
    <w:rsid w:val="009F63B1"/>
    <w:rsid w:val="009F797C"/>
    <w:rsid w:val="00A000D8"/>
    <w:rsid w:val="00A011B6"/>
    <w:rsid w:val="00A0218A"/>
    <w:rsid w:val="00A03B03"/>
    <w:rsid w:val="00A04750"/>
    <w:rsid w:val="00A059F5"/>
    <w:rsid w:val="00A063C0"/>
    <w:rsid w:val="00A0763E"/>
    <w:rsid w:val="00A10DD1"/>
    <w:rsid w:val="00A119AE"/>
    <w:rsid w:val="00A11D67"/>
    <w:rsid w:val="00A132FF"/>
    <w:rsid w:val="00A133A0"/>
    <w:rsid w:val="00A140CE"/>
    <w:rsid w:val="00A16A51"/>
    <w:rsid w:val="00A17ED5"/>
    <w:rsid w:val="00A200B4"/>
    <w:rsid w:val="00A20B32"/>
    <w:rsid w:val="00A22B1E"/>
    <w:rsid w:val="00A23182"/>
    <w:rsid w:val="00A23D58"/>
    <w:rsid w:val="00A24A41"/>
    <w:rsid w:val="00A24C0B"/>
    <w:rsid w:val="00A25170"/>
    <w:rsid w:val="00A25A55"/>
    <w:rsid w:val="00A3001C"/>
    <w:rsid w:val="00A304E5"/>
    <w:rsid w:val="00A3152C"/>
    <w:rsid w:val="00A31B05"/>
    <w:rsid w:val="00A34C3A"/>
    <w:rsid w:val="00A356EF"/>
    <w:rsid w:val="00A3676B"/>
    <w:rsid w:val="00A36B44"/>
    <w:rsid w:val="00A37991"/>
    <w:rsid w:val="00A40566"/>
    <w:rsid w:val="00A435C0"/>
    <w:rsid w:val="00A43E01"/>
    <w:rsid w:val="00A449B9"/>
    <w:rsid w:val="00A45502"/>
    <w:rsid w:val="00A45508"/>
    <w:rsid w:val="00A4572C"/>
    <w:rsid w:val="00A45AFD"/>
    <w:rsid w:val="00A46B3C"/>
    <w:rsid w:val="00A53C37"/>
    <w:rsid w:val="00A56555"/>
    <w:rsid w:val="00A57761"/>
    <w:rsid w:val="00A6019E"/>
    <w:rsid w:val="00A637D6"/>
    <w:rsid w:val="00A65002"/>
    <w:rsid w:val="00A669F3"/>
    <w:rsid w:val="00A670EA"/>
    <w:rsid w:val="00A710D2"/>
    <w:rsid w:val="00A71873"/>
    <w:rsid w:val="00A71882"/>
    <w:rsid w:val="00A7437E"/>
    <w:rsid w:val="00A77263"/>
    <w:rsid w:val="00A83DB3"/>
    <w:rsid w:val="00A84729"/>
    <w:rsid w:val="00A84CCC"/>
    <w:rsid w:val="00A85541"/>
    <w:rsid w:val="00A86D9E"/>
    <w:rsid w:val="00A8749B"/>
    <w:rsid w:val="00A9050A"/>
    <w:rsid w:val="00A91599"/>
    <w:rsid w:val="00A96631"/>
    <w:rsid w:val="00A9715B"/>
    <w:rsid w:val="00AA17B2"/>
    <w:rsid w:val="00AA379D"/>
    <w:rsid w:val="00AA3997"/>
    <w:rsid w:val="00AA45E6"/>
    <w:rsid w:val="00AA4C92"/>
    <w:rsid w:val="00AA59C8"/>
    <w:rsid w:val="00AA5D90"/>
    <w:rsid w:val="00AB07DB"/>
    <w:rsid w:val="00AB0D85"/>
    <w:rsid w:val="00AB1C94"/>
    <w:rsid w:val="00AB4188"/>
    <w:rsid w:val="00AB4B96"/>
    <w:rsid w:val="00AC032A"/>
    <w:rsid w:val="00AC0735"/>
    <w:rsid w:val="00AC69B1"/>
    <w:rsid w:val="00AC7E7D"/>
    <w:rsid w:val="00AD1B95"/>
    <w:rsid w:val="00AD2E70"/>
    <w:rsid w:val="00AD3E10"/>
    <w:rsid w:val="00AD4625"/>
    <w:rsid w:val="00AE03C6"/>
    <w:rsid w:val="00AE27C0"/>
    <w:rsid w:val="00AE2FEE"/>
    <w:rsid w:val="00AE515C"/>
    <w:rsid w:val="00AE6759"/>
    <w:rsid w:val="00AF2D45"/>
    <w:rsid w:val="00AF5AEE"/>
    <w:rsid w:val="00AF7153"/>
    <w:rsid w:val="00B00B88"/>
    <w:rsid w:val="00B01AFE"/>
    <w:rsid w:val="00B01B1D"/>
    <w:rsid w:val="00B02352"/>
    <w:rsid w:val="00B02451"/>
    <w:rsid w:val="00B03E0C"/>
    <w:rsid w:val="00B04B37"/>
    <w:rsid w:val="00B05337"/>
    <w:rsid w:val="00B114AC"/>
    <w:rsid w:val="00B13B70"/>
    <w:rsid w:val="00B14DED"/>
    <w:rsid w:val="00B1611D"/>
    <w:rsid w:val="00B209D0"/>
    <w:rsid w:val="00B20B69"/>
    <w:rsid w:val="00B239BB"/>
    <w:rsid w:val="00B25584"/>
    <w:rsid w:val="00B26D0C"/>
    <w:rsid w:val="00B277D6"/>
    <w:rsid w:val="00B3063D"/>
    <w:rsid w:val="00B317A0"/>
    <w:rsid w:val="00B32FC1"/>
    <w:rsid w:val="00B33749"/>
    <w:rsid w:val="00B339BF"/>
    <w:rsid w:val="00B33A05"/>
    <w:rsid w:val="00B340FD"/>
    <w:rsid w:val="00B35FD7"/>
    <w:rsid w:val="00B421DC"/>
    <w:rsid w:val="00B4228A"/>
    <w:rsid w:val="00B4293B"/>
    <w:rsid w:val="00B446E9"/>
    <w:rsid w:val="00B44796"/>
    <w:rsid w:val="00B46B7B"/>
    <w:rsid w:val="00B5007A"/>
    <w:rsid w:val="00B522C0"/>
    <w:rsid w:val="00B56F6D"/>
    <w:rsid w:val="00B572C0"/>
    <w:rsid w:val="00B5788B"/>
    <w:rsid w:val="00B57A3F"/>
    <w:rsid w:val="00B6073B"/>
    <w:rsid w:val="00B6568D"/>
    <w:rsid w:val="00B65E31"/>
    <w:rsid w:val="00B6623E"/>
    <w:rsid w:val="00B662A5"/>
    <w:rsid w:val="00B6686F"/>
    <w:rsid w:val="00B66C88"/>
    <w:rsid w:val="00B67277"/>
    <w:rsid w:val="00B7413C"/>
    <w:rsid w:val="00B750A8"/>
    <w:rsid w:val="00B75E02"/>
    <w:rsid w:val="00B76F67"/>
    <w:rsid w:val="00B816A7"/>
    <w:rsid w:val="00B82ED3"/>
    <w:rsid w:val="00B83F78"/>
    <w:rsid w:val="00B8511A"/>
    <w:rsid w:val="00B8782E"/>
    <w:rsid w:val="00B9011F"/>
    <w:rsid w:val="00B9385B"/>
    <w:rsid w:val="00B95576"/>
    <w:rsid w:val="00B95D3F"/>
    <w:rsid w:val="00BA12EB"/>
    <w:rsid w:val="00BA23C0"/>
    <w:rsid w:val="00BA6F36"/>
    <w:rsid w:val="00BA71E1"/>
    <w:rsid w:val="00BB1F1C"/>
    <w:rsid w:val="00BB2D0C"/>
    <w:rsid w:val="00BB47B2"/>
    <w:rsid w:val="00BB6211"/>
    <w:rsid w:val="00BB6C30"/>
    <w:rsid w:val="00BC3D51"/>
    <w:rsid w:val="00BC4A1F"/>
    <w:rsid w:val="00BC5557"/>
    <w:rsid w:val="00BC597E"/>
    <w:rsid w:val="00BC6CF9"/>
    <w:rsid w:val="00BC6F9A"/>
    <w:rsid w:val="00BC7013"/>
    <w:rsid w:val="00BD33FD"/>
    <w:rsid w:val="00BD5668"/>
    <w:rsid w:val="00BD6712"/>
    <w:rsid w:val="00BD6E15"/>
    <w:rsid w:val="00BE0ADB"/>
    <w:rsid w:val="00BE142B"/>
    <w:rsid w:val="00BE16DF"/>
    <w:rsid w:val="00BE1EBF"/>
    <w:rsid w:val="00BE212C"/>
    <w:rsid w:val="00BE2465"/>
    <w:rsid w:val="00BE2BC6"/>
    <w:rsid w:val="00BE2E2D"/>
    <w:rsid w:val="00BE59B8"/>
    <w:rsid w:val="00BE6D26"/>
    <w:rsid w:val="00BE6E43"/>
    <w:rsid w:val="00BF13D8"/>
    <w:rsid w:val="00BF2217"/>
    <w:rsid w:val="00BF3F57"/>
    <w:rsid w:val="00BF4E59"/>
    <w:rsid w:val="00BF5AB3"/>
    <w:rsid w:val="00BF6050"/>
    <w:rsid w:val="00BF69E1"/>
    <w:rsid w:val="00BF7A41"/>
    <w:rsid w:val="00BF7D2F"/>
    <w:rsid w:val="00C00AF3"/>
    <w:rsid w:val="00C01F77"/>
    <w:rsid w:val="00C037F3"/>
    <w:rsid w:val="00C04FAB"/>
    <w:rsid w:val="00C05746"/>
    <w:rsid w:val="00C079B4"/>
    <w:rsid w:val="00C07A00"/>
    <w:rsid w:val="00C10B97"/>
    <w:rsid w:val="00C11492"/>
    <w:rsid w:val="00C13128"/>
    <w:rsid w:val="00C134CA"/>
    <w:rsid w:val="00C16415"/>
    <w:rsid w:val="00C20839"/>
    <w:rsid w:val="00C209FA"/>
    <w:rsid w:val="00C238AD"/>
    <w:rsid w:val="00C25964"/>
    <w:rsid w:val="00C27D6C"/>
    <w:rsid w:val="00C33EC2"/>
    <w:rsid w:val="00C35108"/>
    <w:rsid w:val="00C35FE1"/>
    <w:rsid w:val="00C36E4C"/>
    <w:rsid w:val="00C377A7"/>
    <w:rsid w:val="00C37E83"/>
    <w:rsid w:val="00C403E7"/>
    <w:rsid w:val="00C42E08"/>
    <w:rsid w:val="00C42F6C"/>
    <w:rsid w:val="00C44EDD"/>
    <w:rsid w:val="00C454C9"/>
    <w:rsid w:val="00C46B42"/>
    <w:rsid w:val="00C47082"/>
    <w:rsid w:val="00C5042D"/>
    <w:rsid w:val="00C521B0"/>
    <w:rsid w:val="00C55E15"/>
    <w:rsid w:val="00C62853"/>
    <w:rsid w:val="00C629ED"/>
    <w:rsid w:val="00C63FFA"/>
    <w:rsid w:val="00C640F1"/>
    <w:rsid w:val="00C64247"/>
    <w:rsid w:val="00C64B1A"/>
    <w:rsid w:val="00C64BDA"/>
    <w:rsid w:val="00C65216"/>
    <w:rsid w:val="00C65784"/>
    <w:rsid w:val="00C66054"/>
    <w:rsid w:val="00C707C6"/>
    <w:rsid w:val="00C71C6F"/>
    <w:rsid w:val="00C72E52"/>
    <w:rsid w:val="00C7362B"/>
    <w:rsid w:val="00C80103"/>
    <w:rsid w:val="00C814F1"/>
    <w:rsid w:val="00C819EE"/>
    <w:rsid w:val="00C81F3A"/>
    <w:rsid w:val="00C81F7C"/>
    <w:rsid w:val="00C8263A"/>
    <w:rsid w:val="00C8561B"/>
    <w:rsid w:val="00C86CCE"/>
    <w:rsid w:val="00C905DD"/>
    <w:rsid w:val="00C911B9"/>
    <w:rsid w:val="00C9418B"/>
    <w:rsid w:val="00C972B1"/>
    <w:rsid w:val="00C97C97"/>
    <w:rsid w:val="00CA10C8"/>
    <w:rsid w:val="00CA1C73"/>
    <w:rsid w:val="00CA1CEB"/>
    <w:rsid w:val="00CA266A"/>
    <w:rsid w:val="00CB1660"/>
    <w:rsid w:val="00CB23A3"/>
    <w:rsid w:val="00CB31ED"/>
    <w:rsid w:val="00CB3633"/>
    <w:rsid w:val="00CB4834"/>
    <w:rsid w:val="00CB5D4A"/>
    <w:rsid w:val="00CC3E35"/>
    <w:rsid w:val="00CC468C"/>
    <w:rsid w:val="00CD2177"/>
    <w:rsid w:val="00CD2AF0"/>
    <w:rsid w:val="00CD2D64"/>
    <w:rsid w:val="00CD31C1"/>
    <w:rsid w:val="00CD56ED"/>
    <w:rsid w:val="00CE0B6E"/>
    <w:rsid w:val="00CE129D"/>
    <w:rsid w:val="00CE1B29"/>
    <w:rsid w:val="00CE240F"/>
    <w:rsid w:val="00CE34B8"/>
    <w:rsid w:val="00CE36B2"/>
    <w:rsid w:val="00CE48E7"/>
    <w:rsid w:val="00CE5295"/>
    <w:rsid w:val="00CE61C6"/>
    <w:rsid w:val="00CE66F1"/>
    <w:rsid w:val="00CE72A2"/>
    <w:rsid w:val="00CE7383"/>
    <w:rsid w:val="00CF18BA"/>
    <w:rsid w:val="00CF39D0"/>
    <w:rsid w:val="00CF4E44"/>
    <w:rsid w:val="00CF6845"/>
    <w:rsid w:val="00D00426"/>
    <w:rsid w:val="00D023CF"/>
    <w:rsid w:val="00D02A8A"/>
    <w:rsid w:val="00D030D7"/>
    <w:rsid w:val="00D04097"/>
    <w:rsid w:val="00D04AD5"/>
    <w:rsid w:val="00D05E10"/>
    <w:rsid w:val="00D067F5"/>
    <w:rsid w:val="00D070B6"/>
    <w:rsid w:val="00D10A2A"/>
    <w:rsid w:val="00D1106D"/>
    <w:rsid w:val="00D11A8A"/>
    <w:rsid w:val="00D15E78"/>
    <w:rsid w:val="00D15F15"/>
    <w:rsid w:val="00D21458"/>
    <w:rsid w:val="00D22CD1"/>
    <w:rsid w:val="00D23995"/>
    <w:rsid w:val="00D24F15"/>
    <w:rsid w:val="00D252FE"/>
    <w:rsid w:val="00D25FFC"/>
    <w:rsid w:val="00D27EFC"/>
    <w:rsid w:val="00D3122F"/>
    <w:rsid w:val="00D31B26"/>
    <w:rsid w:val="00D326DC"/>
    <w:rsid w:val="00D33377"/>
    <w:rsid w:val="00D33EDA"/>
    <w:rsid w:val="00D345B8"/>
    <w:rsid w:val="00D37DC1"/>
    <w:rsid w:val="00D41133"/>
    <w:rsid w:val="00D4141F"/>
    <w:rsid w:val="00D432E6"/>
    <w:rsid w:val="00D4356D"/>
    <w:rsid w:val="00D438BF"/>
    <w:rsid w:val="00D43994"/>
    <w:rsid w:val="00D44ACD"/>
    <w:rsid w:val="00D455B7"/>
    <w:rsid w:val="00D46422"/>
    <w:rsid w:val="00D47D9C"/>
    <w:rsid w:val="00D50A95"/>
    <w:rsid w:val="00D5173D"/>
    <w:rsid w:val="00D54671"/>
    <w:rsid w:val="00D5646B"/>
    <w:rsid w:val="00D56864"/>
    <w:rsid w:val="00D5772C"/>
    <w:rsid w:val="00D607B8"/>
    <w:rsid w:val="00D62416"/>
    <w:rsid w:val="00D626C1"/>
    <w:rsid w:val="00D6292C"/>
    <w:rsid w:val="00D64668"/>
    <w:rsid w:val="00D649FE"/>
    <w:rsid w:val="00D66047"/>
    <w:rsid w:val="00D72F0E"/>
    <w:rsid w:val="00D7301B"/>
    <w:rsid w:val="00D7532D"/>
    <w:rsid w:val="00D77E17"/>
    <w:rsid w:val="00D8173E"/>
    <w:rsid w:val="00D834DE"/>
    <w:rsid w:val="00D83813"/>
    <w:rsid w:val="00D84C59"/>
    <w:rsid w:val="00D85363"/>
    <w:rsid w:val="00D864C3"/>
    <w:rsid w:val="00D867DE"/>
    <w:rsid w:val="00D86FB0"/>
    <w:rsid w:val="00D87BCA"/>
    <w:rsid w:val="00D909B1"/>
    <w:rsid w:val="00D93F43"/>
    <w:rsid w:val="00D97F59"/>
    <w:rsid w:val="00DA0583"/>
    <w:rsid w:val="00DA126E"/>
    <w:rsid w:val="00DA18A3"/>
    <w:rsid w:val="00DA5D41"/>
    <w:rsid w:val="00DA6AC9"/>
    <w:rsid w:val="00DB0AD9"/>
    <w:rsid w:val="00DB11C6"/>
    <w:rsid w:val="00DB4760"/>
    <w:rsid w:val="00DB7511"/>
    <w:rsid w:val="00DB7FC4"/>
    <w:rsid w:val="00DC0AB7"/>
    <w:rsid w:val="00DC1EC6"/>
    <w:rsid w:val="00DC45DB"/>
    <w:rsid w:val="00DC4E77"/>
    <w:rsid w:val="00DC5753"/>
    <w:rsid w:val="00DC5CFD"/>
    <w:rsid w:val="00DC78DF"/>
    <w:rsid w:val="00DD2EB5"/>
    <w:rsid w:val="00DD3001"/>
    <w:rsid w:val="00DD456D"/>
    <w:rsid w:val="00DD5B77"/>
    <w:rsid w:val="00DE1D99"/>
    <w:rsid w:val="00DE23B2"/>
    <w:rsid w:val="00DE3C92"/>
    <w:rsid w:val="00DE52A0"/>
    <w:rsid w:val="00DF0F32"/>
    <w:rsid w:val="00DF282A"/>
    <w:rsid w:val="00DF2D9B"/>
    <w:rsid w:val="00DF765C"/>
    <w:rsid w:val="00E0086C"/>
    <w:rsid w:val="00E022E7"/>
    <w:rsid w:val="00E03496"/>
    <w:rsid w:val="00E103BB"/>
    <w:rsid w:val="00E1232B"/>
    <w:rsid w:val="00E123C6"/>
    <w:rsid w:val="00E20274"/>
    <w:rsid w:val="00E216EC"/>
    <w:rsid w:val="00E21AA3"/>
    <w:rsid w:val="00E30A05"/>
    <w:rsid w:val="00E310B5"/>
    <w:rsid w:val="00E32082"/>
    <w:rsid w:val="00E32CFE"/>
    <w:rsid w:val="00E330CC"/>
    <w:rsid w:val="00E338D7"/>
    <w:rsid w:val="00E33B81"/>
    <w:rsid w:val="00E360C1"/>
    <w:rsid w:val="00E4186E"/>
    <w:rsid w:val="00E423F7"/>
    <w:rsid w:val="00E44479"/>
    <w:rsid w:val="00E45308"/>
    <w:rsid w:val="00E458A8"/>
    <w:rsid w:val="00E465B9"/>
    <w:rsid w:val="00E47E0C"/>
    <w:rsid w:val="00E50DE2"/>
    <w:rsid w:val="00E52FFC"/>
    <w:rsid w:val="00E5420C"/>
    <w:rsid w:val="00E55C9E"/>
    <w:rsid w:val="00E55F0B"/>
    <w:rsid w:val="00E61EED"/>
    <w:rsid w:val="00E6631A"/>
    <w:rsid w:val="00E72439"/>
    <w:rsid w:val="00E72E67"/>
    <w:rsid w:val="00E75092"/>
    <w:rsid w:val="00E800BE"/>
    <w:rsid w:val="00E81662"/>
    <w:rsid w:val="00E85CF7"/>
    <w:rsid w:val="00E87EA3"/>
    <w:rsid w:val="00E904E4"/>
    <w:rsid w:val="00E947BE"/>
    <w:rsid w:val="00E94CC1"/>
    <w:rsid w:val="00EA1652"/>
    <w:rsid w:val="00EA2FD5"/>
    <w:rsid w:val="00EA3005"/>
    <w:rsid w:val="00EA4156"/>
    <w:rsid w:val="00EA4E9F"/>
    <w:rsid w:val="00EA51D8"/>
    <w:rsid w:val="00EA561A"/>
    <w:rsid w:val="00EB546E"/>
    <w:rsid w:val="00EB5B05"/>
    <w:rsid w:val="00EB5ED1"/>
    <w:rsid w:val="00EB6396"/>
    <w:rsid w:val="00EB7537"/>
    <w:rsid w:val="00EC1100"/>
    <w:rsid w:val="00EC1735"/>
    <w:rsid w:val="00EC615C"/>
    <w:rsid w:val="00EC71A9"/>
    <w:rsid w:val="00EC7BED"/>
    <w:rsid w:val="00ED0E24"/>
    <w:rsid w:val="00ED46C2"/>
    <w:rsid w:val="00ED4EC4"/>
    <w:rsid w:val="00ED6FFD"/>
    <w:rsid w:val="00ED703C"/>
    <w:rsid w:val="00EE0F22"/>
    <w:rsid w:val="00EE13BC"/>
    <w:rsid w:val="00EE38FD"/>
    <w:rsid w:val="00EE5B6E"/>
    <w:rsid w:val="00EF3B0F"/>
    <w:rsid w:val="00EF4878"/>
    <w:rsid w:val="00EF6238"/>
    <w:rsid w:val="00EF62BC"/>
    <w:rsid w:val="00EF649F"/>
    <w:rsid w:val="00EF74BA"/>
    <w:rsid w:val="00EF755E"/>
    <w:rsid w:val="00EF75A2"/>
    <w:rsid w:val="00F050DF"/>
    <w:rsid w:val="00F066FD"/>
    <w:rsid w:val="00F07C3A"/>
    <w:rsid w:val="00F12653"/>
    <w:rsid w:val="00F12735"/>
    <w:rsid w:val="00F1498C"/>
    <w:rsid w:val="00F1766F"/>
    <w:rsid w:val="00F20F6F"/>
    <w:rsid w:val="00F243C2"/>
    <w:rsid w:val="00F30FE8"/>
    <w:rsid w:val="00F31A28"/>
    <w:rsid w:val="00F3232E"/>
    <w:rsid w:val="00F3374A"/>
    <w:rsid w:val="00F33834"/>
    <w:rsid w:val="00F33CF2"/>
    <w:rsid w:val="00F346DD"/>
    <w:rsid w:val="00F3515E"/>
    <w:rsid w:val="00F3541C"/>
    <w:rsid w:val="00F37D0E"/>
    <w:rsid w:val="00F402EC"/>
    <w:rsid w:val="00F40417"/>
    <w:rsid w:val="00F41DA2"/>
    <w:rsid w:val="00F42288"/>
    <w:rsid w:val="00F422B5"/>
    <w:rsid w:val="00F43B80"/>
    <w:rsid w:val="00F45871"/>
    <w:rsid w:val="00F45B8C"/>
    <w:rsid w:val="00F46F26"/>
    <w:rsid w:val="00F50C18"/>
    <w:rsid w:val="00F50F67"/>
    <w:rsid w:val="00F51484"/>
    <w:rsid w:val="00F5162C"/>
    <w:rsid w:val="00F52320"/>
    <w:rsid w:val="00F523DC"/>
    <w:rsid w:val="00F53513"/>
    <w:rsid w:val="00F54477"/>
    <w:rsid w:val="00F57ADE"/>
    <w:rsid w:val="00F6287A"/>
    <w:rsid w:val="00F62DCB"/>
    <w:rsid w:val="00F632B0"/>
    <w:rsid w:val="00F63564"/>
    <w:rsid w:val="00F6402F"/>
    <w:rsid w:val="00F642A0"/>
    <w:rsid w:val="00F65823"/>
    <w:rsid w:val="00F66613"/>
    <w:rsid w:val="00F6738B"/>
    <w:rsid w:val="00F707C1"/>
    <w:rsid w:val="00F74431"/>
    <w:rsid w:val="00F74ACA"/>
    <w:rsid w:val="00F77985"/>
    <w:rsid w:val="00F80051"/>
    <w:rsid w:val="00F81A1D"/>
    <w:rsid w:val="00F840A3"/>
    <w:rsid w:val="00F8710C"/>
    <w:rsid w:val="00F8728D"/>
    <w:rsid w:val="00F903BA"/>
    <w:rsid w:val="00F94315"/>
    <w:rsid w:val="00F9485E"/>
    <w:rsid w:val="00F959BB"/>
    <w:rsid w:val="00F96E25"/>
    <w:rsid w:val="00FA2EA0"/>
    <w:rsid w:val="00FA39C9"/>
    <w:rsid w:val="00FA44A5"/>
    <w:rsid w:val="00FA5236"/>
    <w:rsid w:val="00FA5FBF"/>
    <w:rsid w:val="00FA6A12"/>
    <w:rsid w:val="00FA7C26"/>
    <w:rsid w:val="00FB2AE6"/>
    <w:rsid w:val="00FB4293"/>
    <w:rsid w:val="00FB5403"/>
    <w:rsid w:val="00FB5B16"/>
    <w:rsid w:val="00FB5CBC"/>
    <w:rsid w:val="00FB7A99"/>
    <w:rsid w:val="00FC0EE4"/>
    <w:rsid w:val="00FC1E76"/>
    <w:rsid w:val="00FC2870"/>
    <w:rsid w:val="00FC61C4"/>
    <w:rsid w:val="00FC6B21"/>
    <w:rsid w:val="00FD06AB"/>
    <w:rsid w:val="00FD0946"/>
    <w:rsid w:val="00FD0BAC"/>
    <w:rsid w:val="00FD105E"/>
    <w:rsid w:val="00FD15AF"/>
    <w:rsid w:val="00FD1BDC"/>
    <w:rsid w:val="00FD301B"/>
    <w:rsid w:val="00FD6A30"/>
    <w:rsid w:val="00FE0173"/>
    <w:rsid w:val="00FE05EF"/>
    <w:rsid w:val="00FE0A62"/>
    <w:rsid w:val="00FE1907"/>
    <w:rsid w:val="00FE1CB8"/>
    <w:rsid w:val="00FE1D03"/>
    <w:rsid w:val="00FE205B"/>
    <w:rsid w:val="00FE2745"/>
    <w:rsid w:val="00FE44C1"/>
    <w:rsid w:val="00FE5593"/>
    <w:rsid w:val="00FE7B79"/>
    <w:rsid w:val="00FF0CBA"/>
    <w:rsid w:val="00FF2913"/>
    <w:rsid w:val="00FF2E4D"/>
    <w:rsid w:val="00FF48A9"/>
    <w:rsid w:val="00FF7ACB"/>
    <w:rsid w:val="010740BD"/>
    <w:rsid w:val="01121AE1"/>
    <w:rsid w:val="01534E7C"/>
    <w:rsid w:val="016908DE"/>
    <w:rsid w:val="018E309C"/>
    <w:rsid w:val="02C16911"/>
    <w:rsid w:val="02ED0A5A"/>
    <w:rsid w:val="033546D2"/>
    <w:rsid w:val="0338194C"/>
    <w:rsid w:val="03602F97"/>
    <w:rsid w:val="0364199E"/>
    <w:rsid w:val="036A712A"/>
    <w:rsid w:val="03BC7E2E"/>
    <w:rsid w:val="04456A8D"/>
    <w:rsid w:val="044F06A2"/>
    <w:rsid w:val="04785FE3"/>
    <w:rsid w:val="050958D2"/>
    <w:rsid w:val="05500244"/>
    <w:rsid w:val="05503AC8"/>
    <w:rsid w:val="056858EB"/>
    <w:rsid w:val="05806815"/>
    <w:rsid w:val="059D0343"/>
    <w:rsid w:val="06040FED"/>
    <w:rsid w:val="063F7B4D"/>
    <w:rsid w:val="065B19FB"/>
    <w:rsid w:val="06721621"/>
    <w:rsid w:val="06994D63"/>
    <w:rsid w:val="06BA5298"/>
    <w:rsid w:val="06C013A0"/>
    <w:rsid w:val="06EB12EA"/>
    <w:rsid w:val="072645C7"/>
    <w:rsid w:val="07443056"/>
    <w:rsid w:val="0747037F"/>
    <w:rsid w:val="078017DE"/>
    <w:rsid w:val="07867E64"/>
    <w:rsid w:val="07BC1747"/>
    <w:rsid w:val="07EA7B88"/>
    <w:rsid w:val="07EF4010"/>
    <w:rsid w:val="08296773"/>
    <w:rsid w:val="082B1C77"/>
    <w:rsid w:val="08331281"/>
    <w:rsid w:val="08360008"/>
    <w:rsid w:val="08C2566D"/>
    <w:rsid w:val="09727A0F"/>
    <w:rsid w:val="09891BB3"/>
    <w:rsid w:val="098E0239"/>
    <w:rsid w:val="09B5177D"/>
    <w:rsid w:val="09C87119"/>
    <w:rsid w:val="0ABF3E2E"/>
    <w:rsid w:val="0AF36C07"/>
    <w:rsid w:val="0B426986"/>
    <w:rsid w:val="0B526C20"/>
    <w:rsid w:val="0B6423BD"/>
    <w:rsid w:val="0B676BC5"/>
    <w:rsid w:val="0BB50EC3"/>
    <w:rsid w:val="0C4F583E"/>
    <w:rsid w:val="0C541CC6"/>
    <w:rsid w:val="0C557747"/>
    <w:rsid w:val="0D2D522C"/>
    <w:rsid w:val="0D352639"/>
    <w:rsid w:val="0D5166E6"/>
    <w:rsid w:val="0D5663F1"/>
    <w:rsid w:val="0D9613D9"/>
    <w:rsid w:val="0DD237BC"/>
    <w:rsid w:val="0E241F41"/>
    <w:rsid w:val="0E6F10BC"/>
    <w:rsid w:val="0FB64C56"/>
    <w:rsid w:val="10116269"/>
    <w:rsid w:val="105B53E4"/>
    <w:rsid w:val="107E0E1C"/>
    <w:rsid w:val="109A074C"/>
    <w:rsid w:val="11223B28"/>
    <w:rsid w:val="116D0724"/>
    <w:rsid w:val="118770D0"/>
    <w:rsid w:val="12132537"/>
    <w:rsid w:val="12193808"/>
    <w:rsid w:val="12583BA5"/>
    <w:rsid w:val="12E00606"/>
    <w:rsid w:val="12F7022B"/>
    <w:rsid w:val="130A724C"/>
    <w:rsid w:val="1316525D"/>
    <w:rsid w:val="132867FC"/>
    <w:rsid w:val="13884297"/>
    <w:rsid w:val="13BE4771"/>
    <w:rsid w:val="13C90583"/>
    <w:rsid w:val="13E75935"/>
    <w:rsid w:val="141E5A8F"/>
    <w:rsid w:val="14AC0B76"/>
    <w:rsid w:val="14CD492E"/>
    <w:rsid w:val="152A4CC8"/>
    <w:rsid w:val="153C0465"/>
    <w:rsid w:val="154B51FC"/>
    <w:rsid w:val="159A07FF"/>
    <w:rsid w:val="15F34710"/>
    <w:rsid w:val="160A4336"/>
    <w:rsid w:val="163760FE"/>
    <w:rsid w:val="16471C1C"/>
    <w:rsid w:val="167B3370"/>
    <w:rsid w:val="16872A06"/>
    <w:rsid w:val="168E2390"/>
    <w:rsid w:val="16AD73C2"/>
    <w:rsid w:val="170035C9"/>
    <w:rsid w:val="171347E8"/>
    <w:rsid w:val="172E0C15"/>
    <w:rsid w:val="17AA1863"/>
    <w:rsid w:val="17EA0FC8"/>
    <w:rsid w:val="17F52BDC"/>
    <w:rsid w:val="18361447"/>
    <w:rsid w:val="187C1BBC"/>
    <w:rsid w:val="189F77F2"/>
    <w:rsid w:val="18E524E5"/>
    <w:rsid w:val="192432CE"/>
    <w:rsid w:val="19DD4C7B"/>
    <w:rsid w:val="19EB7814"/>
    <w:rsid w:val="1A555BBE"/>
    <w:rsid w:val="1A5F77D3"/>
    <w:rsid w:val="1A722F70"/>
    <w:rsid w:val="1A772C7B"/>
    <w:rsid w:val="1A9A4135"/>
    <w:rsid w:val="1ABC20EB"/>
    <w:rsid w:val="1B602BF9"/>
    <w:rsid w:val="1BBC1C8E"/>
    <w:rsid w:val="1BE1444C"/>
    <w:rsid w:val="1C1F1D32"/>
    <w:rsid w:val="1C430C6D"/>
    <w:rsid w:val="1C625C9F"/>
    <w:rsid w:val="1C7B0DC7"/>
    <w:rsid w:val="1CAE031C"/>
    <w:rsid w:val="1D0667AD"/>
    <w:rsid w:val="1D430810"/>
    <w:rsid w:val="1D5E26BE"/>
    <w:rsid w:val="1D7A2EE8"/>
    <w:rsid w:val="1D7F7370"/>
    <w:rsid w:val="1E281D87"/>
    <w:rsid w:val="1E7F5C70"/>
    <w:rsid w:val="1F396374"/>
    <w:rsid w:val="1F50506D"/>
    <w:rsid w:val="1F7D6E36"/>
    <w:rsid w:val="1F983263"/>
    <w:rsid w:val="1FA834FD"/>
    <w:rsid w:val="1FB94A9C"/>
    <w:rsid w:val="1FC66330"/>
    <w:rsid w:val="1FD47844"/>
    <w:rsid w:val="203B04ED"/>
    <w:rsid w:val="20446BFF"/>
    <w:rsid w:val="208805ED"/>
    <w:rsid w:val="20D21CE6"/>
    <w:rsid w:val="20DA2975"/>
    <w:rsid w:val="20FD05AB"/>
    <w:rsid w:val="210B3144"/>
    <w:rsid w:val="210D40C9"/>
    <w:rsid w:val="215B63C6"/>
    <w:rsid w:val="219F5BB6"/>
    <w:rsid w:val="21A93F47"/>
    <w:rsid w:val="21CD5401"/>
    <w:rsid w:val="21F675BC"/>
    <w:rsid w:val="22104BF0"/>
    <w:rsid w:val="224A024D"/>
    <w:rsid w:val="233F30E4"/>
    <w:rsid w:val="23524303"/>
    <w:rsid w:val="23834AD2"/>
    <w:rsid w:val="23983773"/>
    <w:rsid w:val="23A94D12"/>
    <w:rsid w:val="23AD3718"/>
    <w:rsid w:val="23B607A4"/>
    <w:rsid w:val="23D941DC"/>
    <w:rsid w:val="23F07684"/>
    <w:rsid w:val="24A713B1"/>
    <w:rsid w:val="24AC1FB6"/>
    <w:rsid w:val="24D50BFC"/>
    <w:rsid w:val="24D97602"/>
    <w:rsid w:val="250D6B57"/>
    <w:rsid w:val="2534229A"/>
    <w:rsid w:val="25357D1C"/>
    <w:rsid w:val="255549CD"/>
    <w:rsid w:val="25A45DD1"/>
    <w:rsid w:val="25D971A5"/>
    <w:rsid w:val="2623089E"/>
    <w:rsid w:val="26ED37EA"/>
    <w:rsid w:val="270E75A2"/>
    <w:rsid w:val="27C17045"/>
    <w:rsid w:val="27CF2569"/>
    <w:rsid w:val="28541E37"/>
    <w:rsid w:val="287C2FFC"/>
    <w:rsid w:val="287D51FA"/>
    <w:rsid w:val="28906419"/>
    <w:rsid w:val="28DD1D9B"/>
    <w:rsid w:val="28E95BAE"/>
    <w:rsid w:val="28FA0047"/>
    <w:rsid w:val="29040956"/>
    <w:rsid w:val="298015A5"/>
    <w:rsid w:val="29C27A8F"/>
    <w:rsid w:val="29E95751"/>
    <w:rsid w:val="2A0362FB"/>
    <w:rsid w:val="2A2F0444"/>
    <w:rsid w:val="2A305EC5"/>
    <w:rsid w:val="2A462267"/>
    <w:rsid w:val="2AEC1AFB"/>
    <w:rsid w:val="2B082325"/>
    <w:rsid w:val="2B94578C"/>
    <w:rsid w:val="2CD07712"/>
    <w:rsid w:val="2D3F52C0"/>
    <w:rsid w:val="2D740220"/>
    <w:rsid w:val="2D990460"/>
    <w:rsid w:val="2DD227B8"/>
    <w:rsid w:val="2DDF1ACE"/>
    <w:rsid w:val="2E290C48"/>
    <w:rsid w:val="2E835E5F"/>
    <w:rsid w:val="2F537431"/>
    <w:rsid w:val="2FD56706"/>
    <w:rsid w:val="302B4F16"/>
    <w:rsid w:val="309D614E"/>
    <w:rsid w:val="30BA5A7F"/>
    <w:rsid w:val="30EE4C54"/>
    <w:rsid w:val="310D1C85"/>
    <w:rsid w:val="310D7A87"/>
    <w:rsid w:val="312C2A60"/>
    <w:rsid w:val="315B7806"/>
    <w:rsid w:val="3168109A"/>
    <w:rsid w:val="319B05F0"/>
    <w:rsid w:val="321B7C44"/>
    <w:rsid w:val="32612937"/>
    <w:rsid w:val="32F708AC"/>
    <w:rsid w:val="335E1555"/>
    <w:rsid w:val="33691AE5"/>
    <w:rsid w:val="33727E29"/>
    <w:rsid w:val="33735C77"/>
    <w:rsid w:val="33915228"/>
    <w:rsid w:val="33DF2DA8"/>
    <w:rsid w:val="342E2B27"/>
    <w:rsid w:val="34B44085"/>
    <w:rsid w:val="34DD7448"/>
    <w:rsid w:val="35684E2E"/>
    <w:rsid w:val="35817F56"/>
    <w:rsid w:val="35925C72"/>
    <w:rsid w:val="35A12A09"/>
    <w:rsid w:val="3635547B"/>
    <w:rsid w:val="365537B1"/>
    <w:rsid w:val="366F7BDE"/>
    <w:rsid w:val="36D10B7D"/>
    <w:rsid w:val="36D34080"/>
    <w:rsid w:val="36FB77C2"/>
    <w:rsid w:val="370A6758"/>
    <w:rsid w:val="374259B8"/>
    <w:rsid w:val="37822F1F"/>
    <w:rsid w:val="382A4631"/>
    <w:rsid w:val="382C33B7"/>
    <w:rsid w:val="38417ADA"/>
    <w:rsid w:val="3856677A"/>
    <w:rsid w:val="389E23F2"/>
    <w:rsid w:val="38C67D33"/>
    <w:rsid w:val="3A0C5E4C"/>
    <w:rsid w:val="3A16675B"/>
    <w:rsid w:val="3A253132"/>
    <w:rsid w:val="3A374711"/>
    <w:rsid w:val="3A3D661B"/>
    <w:rsid w:val="3A584C46"/>
    <w:rsid w:val="3A675260"/>
    <w:rsid w:val="3A8C639A"/>
    <w:rsid w:val="3AE138A5"/>
    <w:rsid w:val="3AFE0C57"/>
    <w:rsid w:val="3B5612E6"/>
    <w:rsid w:val="3B595AEE"/>
    <w:rsid w:val="3BA5016B"/>
    <w:rsid w:val="3BB37481"/>
    <w:rsid w:val="3BE63153"/>
    <w:rsid w:val="3C3A2BDD"/>
    <w:rsid w:val="3C7A5BC5"/>
    <w:rsid w:val="3CED2681"/>
    <w:rsid w:val="3D045B29"/>
    <w:rsid w:val="3DC90D6A"/>
    <w:rsid w:val="3E37337E"/>
    <w:rsid w:val="3E5C3B5C"/>
    <w:rsid w:val="3EE250BA"/>
    <w:rsid w:val="3EFF0DE7"/>
    <w:rsid w:val="3F3D1F51"/>
    <w:rsid w:val="3FA52BFA"/>
    <w:rsid w:val="402334C8"/>
    <w:rsid w:val="40512D12"/>
    <w:rsid w:val="4057049F"/>
    <w:rsid w:val="406C4BC1"/>
    <w:rsid w:val="40C81A57"/>
    <w:rsid w:val="40F47F9D"/>
    <w:rsid w:val="410305B7"/>
    <w:rsid w:val="412752F4"/>
    <w:rsid w:val="4135208B"/>
    <w:rsid w:val="41516138"/>
    <w:rsid w:val="415625C0"/>
    <w:rsid w:val="41A86B47"/>
    <w:rsid w:val="41AC774B"/>
    <w:rsid w:val="41EA2E34"/>
    <w:rsid w:val="42176DFB"/>
    <w:rsid w:val="4229039A"/>
    <w:rsid w:val="4278399C"/>
    <w:rsid w:val="43004B7A"/>
    <w:rsid w:val="430C640E"/>
    <w:rsid w:val="431C0C27"/>
    <w:rsid w:val="435E2995"/>
    <w:rsid w:val="43A37C06"/>
    <w:rsid w:val="43B03699"/>
    <w:rsid w:val="43F25407"/>
    <w:rsid w:val="44F639B0"/>
    <w:rsid w:val="451F03F8"/>
    <w:rsid w:val="455240CA"/>
    <w:rsid w:val="46217C1A"/>
    <w:rsid w:val="46A017ED"/>
    <w:rsid w:val="46C23027"/>
    <w:rsid w:val="46CB2631"/>
    <w:rsid w:val="46CE6E39"/>
    <w:rsid w:val="46FF7608"/>
    <w:rsid w:val="472055BF"/>
    <w:rsid w:val="47241DC7"/>
    <w:rsid w:val="474038F5"/>
    <w:rsid w:val="47691236"/>
    <w:rsid w:val="47A45B98"/>
    <w:rsid w:val="47E75388"/>
    <w:rsid w:val="48311DE3"/>
    <w:rsid w:val="484A762B"/>
    <w:rsid w:val="4862144E"/>
    <w:rsid w:val="487E0D7E"/>
    <w:rsid w:val="4894769F"/>
    <w:rsid w:val="48C536F1"/>
    <w:rsid w:val="48DD0D98"/>
    <w:rsid w:val="48E9042E"/>
    <w:rsid w:val="490F4DEA"/>
    <w:rsid w:val="49300BA2"/>
    <w:rsid w:val="494729C5"/>
    <w:rsid w:val="494E5BE2"/>
    <w:rsid w:val="49780F96"/>
    <w:rsid w:val="49A3785C"/>
    <w:rsid w:val="49B123F5"/>
    <w:rsid w:val="49CF7426"/>
    <w:rsid w:val="4A0C3A08"/>
    <w:rsid w:val="4A2D77C0"/>
    <w:rsid w:val="4A4D5AF6"/>
    <w:rsid w:val="4A7C753F"/>
    <w:rsid w:val="4AB04516"/>
    <w:rsid w:val="4ABA28A7"/>
    <w:rsid w:val="4ABC5DAA"/>
    <w:rsid w:val="4AC92EC2"/>
    <w:rsid w:val="4AEF1A7C"/>
    <w:rsid w:val="4B1C1647"/>
    <w:rsid w:val="4B552AA6"/>
    <w:rsid w:val="4BA74AAE"/>
    <w:rsid w:val="4BAC0F36"/>
    <w:rsid w:val="4BAD3134"/>
    <w:rsid w:val="4C0053E4"/>
    <w:rsid w:val="4C0A12CF"/>
    <w:rsid w:val="4C0F5757"/>
    <w:rsid w:val="4C2130F3"/>
    <w:rsid w:val="4C513C42"/>
    <w:rsid w:val="4C586E50"/>
    <w:rsid w:val="4C86669B"/>
    <w:rsid w:val="4C9E3D41"/>
    <w:rsid w:val="4CCB138D"/>
    <w:rsid w:val="4CDC3826"/>
    <w:rsid w:val="4D0A0E72"/>
    <w:rsid w:val="4E1E2F39"/>
    <w:rsid w:val="4E7F6455"/>
    <w:rsid w:val="4EEA5B05"/>
    <w:rsid w:val="4F194455"/>
    <w:rsid w:val="4F45079D"/>
    <w:rsid w:val="4FA74FBE"/>
    <w:rsid w:val="4FDA0C90"/>
    <w:rsid w:val="4FE0641D"/>
    <w:rsid w:val="506E5C81"/>
    <w:rsid w:val="5075308D"/>
    <w:rsid w:val="50FD7AEE"/>
    <w:rsid w:val="51276734"/>
    <w:rsid w:val="513A7953"/>
    <w:rsid w:val="51910362"/>
    <w:rsid w:val="51AF1B10"/>
    <w:rsid w:val="51B80221"/>
    <w:rsid w:val="51E57DEC"/>
    <w:rsid w:val="51F50086"/>
    <w:rsid w:val="51F65B08"/>
    <w:rsid w:val="530C784E"/>
    <w:rsid w:val="531D336C"/>
    <w:rsid w:val="53242CF6"/>
    <w:rsid w:val="53CD1E8A"/>
    <w:rsid w:val="53FB16D5"/>
    <w:rsid w:val="541C548D"/>
    <w:rsid w:val="545F13F9"/>
    <w:rsid w:val="547E1CAE"/>
    <w:rsid w:val="548A7CBF"/>
    <w:rsid w:val="56532B2E"/>
    <w:rsid w:val="56721007"/>
    <w:rsid w:val="56AE1F43"/>
    <w:rsid w:val="571A7074"/>
    <w:rsid w:val="57E035B9"/>
    <w:rsid w:val="5812180A"/>
    <w:rsid w:val="589D0AAA"/>
    <w:rsid w:val="58B016D3"/>
    <w:rsid w:val="58D4514B"/>
    <w:rsid w:val="59481887"/>
    <w:rsid w:val="594D5D0E"/>
    <w:rsid w:val="59BB6342"/>
    <w:rsid w:val="59EB2715"/>
    <w:rsid w:val="5A3A030D"/>
    <w:rsid w:val="5A4056A2"/>
    <w:rsid w:val="5A754877"/>
    <w:rsid w:val="5ACD2D08"/>
    <w:rsid w:val="5B1E180D"/>
    <w:rsid w:val="5B4D3256"/>
    <w:rsid w:val="5BDD0946"/>
    <w:rsid w:val="5BFA4673"/>
    <w:rsid w:val="5C1C5EAD"/>
    <w:rsid w:val="5C297741"/>
    <w:rsid w:val="5C692729"/>
    <w:rsid w:val="5D1F69D4"/>
    <w:rsid w:val="5D441192"/>
    <w:rsid w:val="5D4F4FA5"/>
    <w:rsid w:val="5D5B0DB7"/>
    <w:rsid w:val="5D793BEB"/>
    <w:rsid w:val="5D8E030D"/>
    <w:rsid w:val="5D975399"/>
    <w:rsid w:val="5DBC7B57"/>
    <w:rsid w:val="5DF35AB3"/>
    <w:rsid w:val="5DFC50BD"/>
    <w:rsid w:val="5E0559CD"/>
    <w:rsid w:val="5E7A120F"/>
    <w:rsid w:val="5EAC7460"/>
    <w:rsid w:val="5F192012"/>
    <w:rsid w:val="5FDD0E56"/>
    <w:rsid w:val="60040D16"/>
    <w:rsid w:val="603F5678"/>
    <w:rsid w:val="60C62FD2"/>
    <w:rsid w:val="60F94AA6"/>
    <w:rsid w:val="612E16FD"/>
    <w:rsid w:val="61BF0FEC"/>
    <w:rsid w:val="626D4608"/>
    <w:rsid w:val="627F5BA7"/>
    <w:rsid w:val="62CE11A9"/>
    <w:rsid w:val="633C17DD"/>
    <w:rsid w:val="63A55989"/>
    <w:rsid w:val="64534828"/>
    <w:rsid w:val="64A93F32"/>
    <w:rsid w:val="64B24842"/>
    <w:rsid w:val="65351598"/>
    <w:rsid w:val="65786B89"/>
    <w:rsid w:val="6586009D"/>
    <w:rsid w:val="65B740EF"/>
    <w:rsid w:val="663B68C7"/>
    <w:rsid w:val="66963760"/>
    <w:rsid w:val="66B4104E"/>
    <w:rsid w:val="66BC011A"/>
    <w:rsid w:val="66CF38B7"/>
    <w:rsid w:val="681151C8"/>
    <w:rsid w:val="68503DB3"/>
    <w:rsid w:val="68654C52"/>
    <w:rsid w:val="687419EA"/>
    <w:rsid w:val="68A2437E"/>
    <w:rsid w:val="68CD6C00"/>
    <w:rsid w:val="690B0C63"/>
    <w:rsid w:val="69621672"/>
    <w:rsid w:val="699356C4"/>
    <w:rsid w:val="69CD06A2"/>
    <w:rsid w:val="69F20F61"/>
    <w:rsid w:val="6A2C45BE"/>
    <w:rsid w:val="6A5B510D"/>
    <w:rsid w:val="6A6C53A8"/>
    <w:rsid w:val="6A8A7548"/>
    <w:rsid w:val="6AED6BFB"/>
    <w:rsid w:val="6B3602F4"/>
    <w:rsid w:val="6B616BB9"/>
    <w:rsid w:val="6BEC4928"/>
    <w:rsid w:val="6C336F12"/>
    <w:rsid w:val="6C5703CB"/>
    <w:rsid w:val="6CA05347"/>
    <w:rsid w:val="6D3632BC"/>
    <w:rsid w:val="6D891A42"/>
    <w:rsid w:val="6D9248D0"/>
    <w:rsid w:val="6E40376F"/>
    <w:rsid w:val="6E5C309F"/>
    <w:rsid w:val="6E950C7A"/>
    <w:rsid w:val="6ED1305E"/>
    <w:rsid w:val="6EF51F98"/>
    <w:rsid w:val="6EFF612B"/>
    <w:rsid w:val="6F221B63"/>
    <w:rsid w:val="6FA355B4"/>
    <w:rsid w:val="6FC6486F"/>
    <w:rsid w:val="703561A8"/>
    <w:rsid w:val="703C22B0"/>
    <w:rsid w:val="70562E59"/>
    <w:rsid w:val="70B25771"/>
    <w:rsid w:val="70DE4037"/>
    <w:rsid w:val="711E6125"/>
    <w:rsid w:val="72216C4D"/>
    <w:rsid w:val="729D6597"/>
    <w:rsid w:val="72C46456"/>
    <w:rsid w:val="737A2701"/>
    <w:rsid w:val="739432AB"/>
    <w:rsid w:val="73D62E1B"/>
    <w:rsid w:val="740238DF"/>
    <w:rsid w:val="746D2F8F"/>
    <w:rsid w:val="74C54CA2"/>
    <w:rsid w:val="74FA3E77"/>
    <w:rsid w:val="754F1383"/>
    <w:rsid w:val="75630023"/>
    <w:rsid w:val="75EB4A85"/>
    <w:rsid w:val="762C54EE"/>
    <w:rsid w:val="76566332"/>
    <w:rsid w:val="766A4FD3"/>
    <w:rsid w:val="767C6572"/>
    <w:rsid w:val="76B344CD"/>
    <w:rsid w:val="7701204E"/>
    <w:rsid w:val="7721127E"/>
    <w:rsid w:val="773B1E28"/>
    <w:rsid w:val="778238A1"/>
    <w:rsid w:val="77CE269B"/>
    <w:rsid w:val="77D445A5"/>
    <w:rsid w:val="77D75529"/>
    <w:rsid w:val="77DD7433"/>
    <w:rsid w:val="77FC1EE6"/>
    <w:rsid w:val="7825692D"/>
    <w:rsid w:val="786429BF"/>
    <w:rsid w:val="786F69A2"/>
    <w:rsid w:val="7888534D"/>
    <w:rsid w:val="78F80E84"/>
    <w:rsid w:val="78FE6611"/>
    <w:rsid w:val="794A540B"/>
    <w:rsid w:val="7997550A"/>
    <w:rsid w:val="799F2917"/>
    <w:rsid w:val="79B23B36"/>
    <w:rsid w:val="79DC497A"/>
    <w:rsid w:val="79FF03B2"/>
    <w:rsid w:val="7A03263B"/>
    <w:rsid w:val="7A564644"/>
    <w:rsid w:val="7A6300D6"/>
    <w:rsid w:val="7AA656C8"/>
    <w:rsid w:val="7AAD7251"/>
    <w:rsid w:val="7B8B6C3F"/>
    <w:rsid w:val="7BBB198C"/>
    <w:rsid w:val="7BD26834"/>
    <w:rsid w:val="7C191248"/>
    <w:rsid w:val="7C5C1516"/>
    <w:rsid w:val="7CB27A44"/>
    <w:rsid w:val="7D271EE3"/>
    <w:rsid w:val="7D276660"/>
    <w:rsid w:val="7D830F78"/>
    <w:rsid w:val="7DCC0473"/>
    <w:rsid w:val="7DDE038D"/>
    <w:rsid w:val="7E18726D"/>
    <w:rsid w:val="7E2C1791"/>
    <w:rsid w:val="7E5B6A5D"/>
    <w:rsid w:val="7E967B3C"/>
    <w:rsid w:val="7EA810DB"/>
    <w:rsid w:val="7F440F59"/>
    <w:rsid w:val="7FAE060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uiPriority="0" w:name="Normal Indent"/>
    <w:lsdException w:qFormat="1" w:unhideWhenUsed="0" w:uiPriority="99" w:semiHidden="0" w:name="footnote text"/>
    <w:lsdException w:qFormat="1" w:unhideWhenUsed="0" w:uiPriority="99" w:semiHidden="0" w:name="annotation text"/>
    <w:lsdException w:qFormat="1" w:unhideWhenUsed="0" w:uiPriority="99" w:name="header"/>
    <w:lsdException w:qFormat="1" w:unhideWhenUsed="0" w:uiPriority="99" w:semiHidden="0" w:name="footer"/>
    <w:lsdException w:uiPriority="0" w:name="index heading"/>
    <w:lsdException w:qFormat="1" w:uiPriority="0" w:semiHidden="0" w:name="caption" w:locked="1"/>
    <w:lsdException w:uiPriority="0" w:name="table of figures"/>
    <w:lsdException w:uiPriority="0" w:name="envelope address"/>
    <w:lsdException w:uiPriority="0" w:name="envelope return"/>
    <w:lsdException w:qFormat="1" w:unhideWhenUsed="0" w:uiPriority="99"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ocked="1"/>
    <w:lsdException w:uiPriority="0" w:name="Closing"/>
    <w:lsdException w:uiPriority="0" w:name="Signature"/>
    <w:lsdException w:uiPriority="1" w:name="Default Paragraph Font"/>
    <w:lsdException w:qFormat="1" w:unhideWhenUsed="0" w:uiPriority="0" w:semiHidden="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ocked="1"/>
    <w:lsdException w:uiPriority="0" w:name="Salutation"/>
    <w:lsdException w:qFormat="1" w:unhideWhenUsed="0" w:uiPriority="99"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0" w:semiHidden="0" w:name="Strong" w:locked="1"/>
    <w:lsdException w:qFormat="1" w:unhideWhenUsed="0" w:uiPriority="0" w:semiHidden="0" w:name="Emphasis" w:locked="1"/>
    <w:lsdException w:qFormat="1" w:unhideWhenUsed="0" w:uiPriority="99" w:name="Document Map"/>
    <w:lsdException w:uiPriority="0" w:name="Plain Text"/>
    <w:lsdException w:uiPriority="0" w:name="E-mail Signature"/>
    <w:lsdException w:qFormat="1" w:unhideWhenUsed="0" w:uiPriority="99"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99"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name="Balloon Text"/>
    <w:lsdException w:qFormat="1" w:unhideWhenUsed="0" w:uiPriority="59" w:semiHidden="0" w:name="Table Grid"/>
    <w:lsdException w:uiPriority="0" w:name="Table Theme"/>
    <w:lsdException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39"/>
    <w:qFormat/>
    <w:uiPriority w:val="99"/>
    <w:pPr>
      <w:keepNext/>
      <w:keepLines/>
      <w:spacing w:before="340" w:after="330" w:line="578" w:lineRule="auto"/>
      <w:outlineLvl w:val="0"/>
    </w:pPr>
    <w:rPr>
      <w:b/>
      <w:bCs/>
      <w:kern w:val="44"/>
      <w:sz w:val="44"/>
      <w:szCs w:val="44"/>
    </w:rPr>
  </w:style>
  <w:style w:type="paragraph" w:styleId="3">
    <w:name w:val="heading 2"/>
    <w:basedOn w:val="1"/>
    <w:next w:val="1"/>
    <w:link w:val="40"/>
    <w:qFormat/>
    <w:uiPriority w:val="99"/>
    <w:pPr>
      <w:keepNext/>
      <w:keepLines/>
      <w:spacing w:before="260" w:after="260" w:line="416" w:lineRule="auto"/>
      <w:outlineLvl w:val="1"/>
    </w:pPr>
    <w:rPr>
      <w:rFonts w:ascii="Cambria" w:hAnsi="Cambria"/>
      <w:b/>
      <w:bCs/>
      <w:sz w:val="32"/>
      <w:szCs w:val="32"/>
    </w:rPr>
  </w:style>
  <w:style w:type="paragraph" w:styleId="4">
    <w:name w:val="heading 3"/>
    <w:basedOn w:val="1"/>
    <w:next w:val="1"/>
    <w:link w:val="41"/>
    <w:qFormat/>
    <w:uiPriority w:val="99"/>
    <w:pPr>
      <w:keepNext/>
      <w:keepLines/>
      <w:spacing w:before="260" w:after="260" w:line="416" w:lineRule="auto"/>
      <w:outlineLvl w:val="2"/>
    </w:pPr>
    <w:rPr>
      <w:b/>
      <w:bCs/>
      <w:sz w:val="32"/>
      <w:szCs w:val="32"/>
    </w:rPr>
  </w:style>
  <w:style w:type="character" w:default="1" w:styleId="27">
    <w:name w:val="Default Paragraph Font"/>
    <w:semiHidden/>
    <w:unhideWhenUsed/>
    <w:uiPriority w:val="1"/>
  </w:style>
  <w:style w:type="table" w:default="1" w:styleId="25">
    <w:name w:val="Normal Table"/>
    <w:semiHidden/>
    <w:unhideWhenUsed/>
    <w:uiPriority w:val="99"/>
    <w:tblPr>
      <w:tblCellMar>
        <w:top w:w="0" w:type="dxa"/>
        <w:left w:w="108" w:type="dxa"/>
        <w:bottom w:w="0" w:type="dxa"/>
        <w:right w:w="108" w:type="dxa"/>
      </w:tblCellMar>
    </w:tblPr>
  </w:style>
  <w:style w:type="paragraph" w:styleId="5">
    <w:name w:val="toc 7"/>
    <w:basedOn w:val="1"/>
    <w:next w:val="1"/>
    <w:qFormat/>
    <w:uiPriority w:val="99"/>
    <w:pPr>
      <w:ind w:left="1050"/>
      <w:jc w:val="left"/>
    </w:pPr>
    <w:rPr>
      <w:rFonts w:cs="Calibri"/>
      <w:sz w:val="20"/>
      <w:szCs w:val="20"/>
    </w:rPr>
  </w:style>
  <w:style w:type="paragraph" w:styleId="6">
    <w:name w:val="caption"/>
    <w:basedOn w:val="1"/>
    <w:next w:val="1"/>
    <w:unhideWhenUsed/>
    <w:qFormat/>
    <w:locked/>
    <w:uiPriority w:val="0"/>
    <w:rPr>
      <w:rFonts w:eastAsia="黑体" w:asciiTheme="majorHAnsi" w:hAnsiTheme="majorHAnsi" w:cstheme="majorBidi"/>
      <w:sz w:val="20"/>
      <w:szCs w:val="20"/>
    </w:rPr>
  </w:style>
  <w:style w:type="paragraph" w:styleId="7">
    <w:name w:val="Document Map"/>
    <w:basedOn w:val="1"/>
    <w:link w:val="44"/>
    <w:semiHidden/>
    <w:qFormat/>
    <w:uiPriority w:val="99"/>
    <w:pPr>
      <w:shd w:val="clear" w:color="auto" w:fill="000080"/>
    </w:pPr>
  </w:style>
  <w:style w:type="paragraph" w:styleId="8">
    <w:name w:val="annotation text"/>
    <w:basedOn w:val="1"/>
    <w:link w:val="42"/>
    <w:qFormat/>
    <w:uiPriority w:val="99"/>
    <w:pPr>
      <w:jc w:val="left"/>
    </w:pPr>
  </w:style>
  <w:style w:type="paragraph" w:styleId="9">
    <w:name w:val="Body Text"/>
    <w:basedOn w:val="1"/>
    <w:link w:val="52"/>
    <w:qFormat/>
    <w:uiPriority w:val="0"/>
    <w:pPr>
      <w:widowControl/>
      <w:spacing w:before="60" w:after="60"/>
      <w:ind w:left="284" w:hanging="284"/>
      <w:jc w:val="left"/>
    </w:pPr>
    <w:rPr>
      <w:rFonts w:ascii="Times New Roman" w:hAnsi="Times New Roman"/>
      <w:kern w:val="0"/>
      <w:sz w:val="24"/>
      <w:szCs w:val="20"/>
      <w:lang w:val="en-GB" w:eastAsia="nb-NO"/>
    </w:rPr>
  </w:style>
  <w:style w:type="paragraph" w:styleId="10">
    <w:name w:val="toc 5"/>
    <w:basedOn w:val="1"/>
    <w:next w:val="1"/>
    <w:qFormat/>
    <w:uiPriority w:val="99"/>
    <w:pPr>
      <w:ind w:left="630"/>
      <w:jc w:val="left"/>
    </w:pPr>
    <w:rPr>
      <w:rFonts w:cs="Calibri"/>
      <w:sz w:val="20"/>
      <w:szCs w:val="20"/>
    </w:rPr>
  </w:style>
  <w:style w:type="paragraph" w:styleId="11">
    <w:name w:val="toc 3"/>
    <w:basedOn w:val="1"/>
    <w:next w:val="1"/>
    <w:qFormat/>
    <w:uiPriority w:val="39"/>
    <w:pPr>
      <w:tabs>
        <w:tab w:val="left" w:pos="1050"/>
        <w:tab w:val="right" w:leader="dot" w:pos="8296"/>
      </w:tabs>
      <w:ind w:left="210"/>
      <w:jc w:val="left"/>
    </w:pPr>
    <w:rPr>
      <w:rFonts w:cs="Calibri"/>
      <w:sz w:val="20"/>
      <w:szCs w:val="20"/>
    </w:rPr>
  </w:style>
  <w:style w:type="paragraph" w:styleId="12">
    <w:name w:val="toc 8"/>
    <w:basedOn w:val="1"/>
    <w:next w:val="1"/>
    <w:qFormat/>
    <w:uiPriority w:val="99"/>
    <w:pPr>
      <w:ind w:left="1260"/>
      <w:jc w:val="left"/>
    </w:pPr>
    <w:rPr>
      <w:rFonts w:cs="Calibri"/>
      <w:sz w:val="20"/>
      <w:szCs w:val="20"/>
    </w:rPr>
  </w:style>
  <w:style w:type="paragraph" w:styleId="13">
    <w:name w:val="Date"/>
    <w:basedOn w:val="1"/>
    <w:next w:val="1"/>
    <w:link w:val="45"/>
    <w:semiHidden/>
    <w:qFormat/>
    <w:uiPriority w:val="99"/>
    <w:pPr>
      <w:ind w:left="100" w:leftChars="2500"/>
    </w:pPr>
  </w:style>
  <w:style w:type="paragraph" w:styleId="14">
    <w:name w:val="Balloon Text"/>
    <w:basedOn w:val="1"/>
    <w:link w:val="46"/>
    <w:semiHidden/>
    <w:qFormat/>
    <w:uiPriority w:val="99"/>
    <w:rPr>
      <w:sz w:val="18"/>
      <w:szCs w:val="18"/>
    </w:rPr>
  </w:style>
  <w:style w:type="paragraph" w:styleId="15">
    <w:name w:val="footer"/>
    <w:basedOn w:val="1"/>
    <w:link w:val="47"/>
    <w:qFormat/>
    <w:uiPriority w:val="99"/>
    <w:pPr>
      <w:tabs>
        <w:tab w:val="center" w:pos="4153"/>
        <w:tab w:val="right" w:pos="8306"/>
      </w:tabs>
      <w:snapToGrid w:val="0"/>
      <w:jc w:val="left"/>
    </w:pPr>
    <w:rPr>
      <w:sz w:val="18"/>
      <w:szCs w:val="18"/>
    </w:rPr>
  </w:style>
  <w:style w:type="paragraph" w:styleId="16">
    <w:name w:val="header"/>
    <w:basedOn w:val="1"/>
    <w:link w:val="48"/>
    <w:semiHidden/>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39"/>
    <w:pPr>
      <w:tabs>
        <w:tab w:val="left" w:pos="630"/>
        <w:tab w:val="right" w:leader="dot" w:pos="8296"/>
      </w:tabs>
      <w:spacing w:beforeLines="50"/>
      <w:jc w:val="left"/>
    </w:pPr>
    <w:rPr>
      <w:rFonts w:ascii="仿宋_GB2312" w:hAnsi="Cambria" w:eastAsia="仿宋_GB2312"/>
      <w:b/>
      <w:bCs/>
      <w:caps/>
      <w:sz w:val="24"/>
      <w:szCs w:val="24"/>
    </w:rPr>
  </w:style>
  <w:style w:type="paragraph" w:styleId="18">
    <w:name w:val="toc 4"/>
    <w:basedOn w:val="1"/>
    <w:next w:val="1"/>
    <w:qFormat/>
    <w:uiPriority w:val="99"/>
    <w:pPr>
      <w:ind w:left="420"/>
      <w:jc w:val="left"/>
    </w:pPr>
    <w:rPr>
      <w:rFonts w:cs="Calibri"/>
      <w:sz w:val="20"/>
      <w:szCs w:val="20"/>
    </w:rPr>
  </w:style>
  <w:style w:type="paragraph" w:styleId="19">
    <w:name w:val="footnote text"/>
    <w:basedOn w:val="1"/>
    <w:link w:val="49"/>
    <w:qFormat/>
    <w:uiPriority w:val="99"/>
    <w:pPr>
      <w:snapToGrid w:val="0"/>
      <w:jc w:val="left"/>
    </w:pPr>
    <w:rPr>
      <w:sz w:val="18"/>
      <w:szCs w:val="18"/>
    </w:rPr>
  </w:style>
  <w:style w:type="paragraph" w:styleId="20">
    <w:name w:val="toc 6"/>
    <w:basedOn w:val="1"/>
    <w:next w:val="1"/>
    <w:qFormat/>
    <w:uiPriority w:val="99"/>
    <w:pPr>
      <w:ind w:left="840"/>
      <w:jc w:val="left"/>
    </w:pPr>
    <w:rPr>
      <w:rFonts w:cs="Calibri"/>
      <w:sz w:val="20"/>
      <w:szCs w:val="20"/>
    </w:rPr>
  </w:style>
  <w:style w:type="paragraph" w:styleId="21">
    <w:name w:val="toc 2"/>
    <w:basedOn w:val="1"/>
    <w:next w:val="1"/>
    <w:qFormat/>
    <w:uiPriority w:val="39"/>
    <w:pPr>
      <w:tabs>
        <w:tab w:val="left" w:pos="840"/>
        <w:tab w:val="right" w:leader="dot" w:pos="8296"/>
      </w:tabs>
      <w:ind w:firstLine="200" w:firstLineChars="100"/>
      <w:jc w:val="left"/>
    </w:pPr>
    <w:rPr>
      <w:rFonts w:cs="Calibri"/>
      <w:b/>
      <w:bCs/>
      <w:sz w:val="20"/>
      <w:szCs w:val="20"/>
    </w:rPr>
  </w:style>
  <w:style w:type="paragraph" w:styleId="22">
    <w:name w:val="toc 9"/>
    <w:basedOn w:val="1"/>
    <w:next w:val="1"/>
    <w:qFormat/>
    <w:uiPriority w:val="99"/>
    <w:pPr>
      <w:ind w:left="1470"/>
      <w:jc w:val="left"/>
    </w:pPr>
    <w:rPr>
      <w:rFonts w:cs="Calibri"/>
      <w:sz w:val="20"/>
      <w:szCs w:val="20"/>
    </w:rPr>
  </w:style>
  <w:style w:type="paragraph" w:styleId="23">
    <w:name w:val="Normal (Web)"/>
    <w:basedOn w:val="1"/>
    <w:semiHidden/>
    <w:qFormat/>
    <w:uiPriority w:val="99"/>
    <w:pPr>
      <w:widowControl/>
      <w:spacing w:before="100" w:beforeAutospacing="1" w:after="100" w:afterAutospacing="1"/>
      <w:jc w:val="left"/>
    </w:pPr>
    <w:rPr>
      <w:rFonts w:ascii="宋体" w:hAnsi="宋体" w:cs="宋体"/>
      <w:kern w:val="0"/>
      <w:sz w:val="24"/>
      <w:szCs w:val="24"/>
    </w:rPr>
  </w:style>
  <w:style w:type="paragraph" w:styleId="24">
    <w:name w:val="annotation subject"/>
    <w:basedOn w:val="8"/>
    <w:next w:val="8"/>
    <w:link w:val="43"/>
    <w:semiHidden/>
    <w:qFormat/>
    <w:uiPriority w:val="99"/>
    <w:rPr>
      <w:b/>
      <w:bCs/>
    </w:rPr>
  </w:style>
  <w:style w:type="table" w:styleId="26">
    <w:name w:val="Table Grid"/>
    <w:basedOn w:val="2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8">
    <w:name w:val="Hyperlink"/>
    <w:qFormat/>
    <w:uiPriority w:val="99"/>
    <w:rPr>
      <w:rFonts w:cs="Times New Roman"/>
      <w:color w:val="0000FF"/>
      <w:u w:val="single"/>
    </w:rPr>
  </w:style>
  <w:style w:type="character" w:styleId="29">
    <w:name w:val="annotation reference"/>
    <w:qFormat/>
    <w:uiPriority w:val="99"/>
    <w:rPr>
      <w:rFonts w:cs="Times New Roman"/>
      <w:sz w:val="21"/>
      <w:szCs w:val="21"/>
    </w:rPr>
  </w:style>
  <w:style w:type="character" w:styleId="30">
    <w:name w:val="footnote reference"/>
    <w:semiHidden/>
    <w:qFormat/>
    <w:uiPriority w:val="99"/>
    <w:rPr>
      <w:rFonts w:cs="Times New Roman"/>
      <w:vertAlign w:val="superscript"/>
    </w:rPr>
  </w:style>
  <w:style w:type="paragraph" w:customStyle="1" w:styleId="31">
    <w:name w:val="TOC Heading1"/>
    <w:basedOn w:val="2"/>
    <w:next w:val="1"/>
    <w:qFormat/>
    <w:uiPriority w:val="99"/>
    <w:pPr>
      <w:widowControl/>
      <w:spacing w:before="480" w:after="0" w:line="276" w:lineRule="auto"/>
      <w:jc w:val="left"/>
      <w:outlineLvl w:val="9"/>
    </w:pPr>
    <w:rPr>
      <w:rFonts w:ascii="Cambria" w:hAnsi="Cambria"/>
      <w:color w:val="365F91"/>
      <w:kern w:val="0"/>
      <w:sz w:val="28"/>
      <w:szCs w:val="28"/>
    </w:rPr>
  </w:style>
  <w:style w:type="paragraph" w:customStyle="1" w:styleId="32">
    <w:name w:val="List Paragraph1"/>
    <w:basedOn w:val="1"/>
    <w:qFormat/>
    <w:uiPriority w:val="99"/>
    <w:pPr>
      <w:ind w:firstLine="420" w:firstLineChars="200"/>
    </w:pPr>
  </w:style>
  <w:style w:type="paragraph" w:customStyle="1" w:styleId="33">
    <w:name w:val="Default"/>
    <w:link w:val="53"/>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4">
    <w:name w:val="Revision1"/>
    <w:hidden/>
    <w:semiHidden/>
    <w:qFormat/>
    <w:uiPriority w:val="99"/>
    <w:rPr>
      <w:rFonts w:ascii="Calibri" w:hAnsi="Calibri" w:eastAsia="宋体" w:cs="Calibri"/>
      <w:kern w:val="2"/>
      <w:sz w:val="21"/>
      <w:szCs w:val="22"/>
      <w:lang w:val="en-US" w:eastAsia="zh-CN" w:bidi="ar-SA"/>
    </w:rPr>
  </w:style>
  <w:style w:type="paragraph" w:customStyle="1" w:styleId="35">
    <w:name w:val="Char Char Char Char Char Char Char Char Char Char Char Char"/>
    <w:basedOn w:val="1"/>
    <w:qFormat/>
    <w:uiPriority w:val="99"/>
    <w:pPr>
      <w:tabs>
        <w:tab w:val="left" w:pos="360"/>
      </w:tabs>
      <w:ind w:left="360" w:hanging="360" w:hangingChars="200"/>
    </w:pPr>
    <w:rPr>
      <w:rFonts w:ascii="Times New Roman" w:hAnsi="Times New Roman"/>
      <w:sz w:val="24"/>
      <w:szCs w:val="24"/>
    </w:rPr>
  </w:style>
  <w:style w:type="paragraph" w:customStyle="1" w:styleId="36">
    <w:name w:val="Char Char Char Char Char Char Char Char Char Char Char Char2"/>
    <w:basedOn w:val="1"/>
    <w:qFormat/>
    <w:uiPriority w:val="99"/>
    <w:pPr>
      <w:tabs>
        <w:tab w:val="left" w:pos="360"/>
      </w:tabs>
      <w:ind w:left="360" w:hanging="360" w:hangingChars="200"/>
    </w:pPr>
    <w:rPr>
      <w:rFonts w:ascii="Times New Roman" w:hAnsi="Times New Roman"/>
      <w:sz w:val="24"/>
      <w:szCs w:val="24"/>
    </w:rPr>
  </w:style>
  <w:style w:type="paragraph" w:customStyle="1" w:styleId="37">
    <w:name w:val="Char Char Char Char Char Char Char Char Char Char Char Char1"/>
    <w:basedOn w:val="1"/>
    <w:qFormat/>
    <w:uiPriority w:val="99"/>
    <w:pPr>
      <w:tabs>
        <w:tab w:val="left" w:pos="360"/>
      </w:tabs>
      <w:ind w:left="360" w:hanging="360" w:hangingChars="200"/>
    </w:pPr>
    <w:rPr>
      <w:rFonts w:ascii="Times New Roman" w:hAnsi="Times New Roman"/>
      <w:sz w:val="24"/>
      <w:szCs w:val="24"/>
    </w:rPr>
  </w:style>
  <w:style w:type="paragraph" w:customStyle="1" w:styleId="38">
    <w:name w:val="列出段落1"/>
    <w:basedOn w:val="1"/>
    <w:qFormat/>
    <w:uiPriority w:val="34"/>
    <w:pPr>
      <w:ind w:firstLine="420" w:firstLineChars="200"/>
    </w:pPr>
  </w:style>
  <w:style w:type="character" w:customStyle="1" w:styleId="39">
    <w:name w:val="标题 1 Char"/>
    <w:link w:val="2"/>
    <w:qFormat/>
    <w:locked/>
    <w:uiPriority w:val="99"/>
    <w:rPr>
      <w:rFonts w:cs="Times New Roman"/>
      <w:b/>
      <w:bCs/>
      <w:kern w:val="44"/>
      <w:sz w:val="44"/>
      <w:szCs w:val="44"/>
    </w:rPr>
  </w:style>
  <w:style w:type="character" w:customStyle="1" w:styleId="40">
    <w:name w:val="标题 2 Char"/>
    <w:link w:val="3"/>
    <w:qFormat/>
    <w:locked/>
    <w:uiPriority w:val="99"/>
    <w:rPr>
      <w:rFonts w:ascii="Cambria" w:hAnsi="Cambria" w:eastAsia="宋体" w:cs="Times New Roman"/>
      <w:b/>
      <w:bCs/>
      <w:kern w:val="2"/>
      <w:sz w:val="32"/>
      <w:szCs w:val="32"/>
    </w:rPr>
  </w:style>
  <w:style w:type="character" w:customStyle="1" w:styleId="41">
    <w:name w:val="标题 3 Char"/>
    <w:link w:val="4"/>
    <w:qFormat/>
    <w:locked/>
    <w:uiPriority w:val="99"/>
    <w:rPr>
      <w:rFonts w:cs="Times New Roman"/>
      <w:b/>
      <w:bCs/>
      <w:kern w:val="2"/>
      <w:sz w:val="32"/>
      <w:szCs w:val="32"/>
    </w:rPr>
  </w:style>
  <w:style w:type="character" w:customStyle="1" w:styleId="42">
    <w:name w:val="批注文字 Char"/>
    <w:link w:val="8"/>
    <w:qFormat/>
    <w:locked/>
    <w:uiPriority w:val="99"/>
    <w:rPr>
      <w:rFonts w:cs="Times New Roman"/>
      <w:kern w:val="2"/>
      <w:sz w:val="22"/>
      <w:szCs w:val="22"/>
    </w:rPr>
  </w:style>
  <w:style w:type="character" w:customStyle="1" w:styleId="43">
    <w:name w:val="批注主题 Char"/>
    <w:link w:val="24"/>
    <w:semiHidden/>
    <w:qFormat/>
    <w:locked/>
    <w:uiPriority w:val="99"/>
    <w:rPr>
      <w:rFonts w:cs="Times New Roman"/>
      <w:b/>
      <w:bCs/>
      <w:kern w:val="2"/>
      <w:sz w:val="22"/>
      <w:szCs w:val="22"/>
    </w:rPr>
  </w:style>
  <w:style w:type="character" w:customStyle="1" w:styleId="44">
    <w:name w:val="文档结构图 Char"/>
    <w:link w:val="7"/>
    <w:semiHidden/>
    <w:qFormat/>
    <w:locked/>
    <w:uiPriority w:val="99"/>
    <w:rPr>
      <w:rFonts w:ascii="Times New Roman" w:hAnsi="Times New Roman" w:cs="Times New Roman"/>
      <w:sz w:val="2"/>
    </w:rPr>
  </w:style>
  <w:style w:type="character" w:customStyle="1" w:styleId="45">
    <w:name w:val="日期 Char"/>
    <w:link w:val="13"/>
    <w:semiHidden/>
    <w:qFormat/>
    <w:locked/>
    <w:uiPriority w:val="99"/>
    <w:rPr>
      <w:rFonts w:cs="Times New Roman"/>
      <w:kern w:val="2"/>
      <w:sz w:val="22"/>
      <w:szCs w:val="22"/>
    </w:rPr>
  </w:style>
  <w:style w:type="character" w:customStyle="1" w:styleId="46">
    <w:name w:val="批注框文本 Char"/>
    <w:link w:val="14"/>
    <w:semiHidden/>
    <w:qFormat/>
    <w:locked/>
    <w:uiPriority w:val="99"/>
    <w:rPr>
      <w:rFonts w:cs="Times New Roman"/>
      <w:kern w:val="2"/>
      <w:sz w:val="18"/>
      <w:szCs w:val="18"/>
    </w:rPr>
  </w:style>
  <w:style w:type="character" w:customStyle="1" w:styleId="47">
    <w:name w:val="页脚 Char"/>
    <w:link w:val="15"/>
    <w:qFormat/>
    <w:locked/>
    <w:uiPriority w:val="99"/>
    <w:rPr>
      <w:rFonts w:cs="Times New Roman"/>
      <w:sz w:val="18"/>
      <w:szCs w:val="18"/>
    </w:rPr>
  </w:style>
  <w:style w:type="character" w:customStyle="1" w:styleId="48">
    <w:name w:val="页眉 Char"/>
    <w:link w:val="16"/>
    <w:semiHidden/>
    <w:qFormat/>
    <w:locked/>
    <w:uiPriority w:val="99"/>
    <w:rPr>
      <w:rFonts w:cs="Times New Roman"/>
      <w:sz w:val="18"/>
      <w:szCs w:val="18"/>
    </w:rPr>
  </w:style>
  <w:style w:type="character" w:customStyle="1" w:styleId="49">
    <w:name w:val="脚注文本 Char"/>
    <w:link w:val="19"/>
    <w:qFormat/>
    <w:locked/>
    <w:uiPriority w:val="99"/>
    <w:rPr>
      <w:rFonts w:cs="Times New Roman"/>
      <w:kern w:val="2"/>
      <w:sz w:val="18"/>
      <w:szCs w:val="18"/>
    </w:rPr>
  </w:style>
  <w:style w:type="character" w:customStyle="1" w:styleId="50">
    <w:name w:val="apple-style-span"/>
    <w:qFormat/>
    <w:uiPriority w:val="99"/>
    <w:rPr>
      <w:rFonts w:cs="Times New Roman"/>
    </w:rPr>
  </w:style>
  <w:style w:type="character" w:customStyle="1" w:styleId="51">
    <w:name w:val="mtext022"/>
    <w:qFormat/>
    <w:uiPriority w:val="0"/>
  </w:style>
  <w:style w:type="character" w:customStyle="1" w:styleId="52">
    <w:name w:val="正文文本 Char"/>
    <w:link w:val="9"/>
    <w:qFormat/>
    <w:uiPriority w:val="0"/>
    <w:rPr>
      <w:sz w:val="24"/>
      <w:lang w:val="en-GB" w:eastAsia="nb-NO"/>
    </w:rPr>
  </w:style>
  <w:style w:type="character" w:customStyle="1" w:styleId="53">
    <w:name w:val="Default Char"/>
    <w:link w:val="33"/>
    <w:qFormat/>
    <w:uiPriority w:val="0"/>
    <w:rPr>
      <w:rFonts w:ascii="宋体" w:hAnsi="Calibri" w:cs="宋体"/>
      <w:color w:val="000000"/>
      <w:sz w:val="24"/>
      <w:szCs w:val="24"/>
    </w:rPr>
  </w:style>
  <w:style w:type="character" w:customStyle="1" w:styleId="54">
    <w:name w:val="DNV-TableText Char"/>
    <w:link w:val="55"/>
    <w:qFormat/>
    <w:uiPriority w:val="0"/>
    <w:rPr>
      <w:lang w:val="en-GB" w:eastAsia="nb-NO"/>
    </w:rPr>
  </w:style>
  <w:style w:type="paragraph" w:customStyle="1" w:styleId="55">
    <w:name w:val="DNV-TableText"/>
    <w:basedOn w:val="1"/>
    <w:link w:val="54"/>
    <w:qFormat/>
    <w:uiPriority w:val="0"/>
    <w:pPr>
      <w:keepNext/>
      <w:keepLines/>
      <w:widowControl/>
      <w:spacing w:before="20" w:after="20"/>
      <w:ind w:left="284" w:hanging="284"/>
    </w:pPr>
    <w:rPr>
      <w:rFonts w:ascii="Times New Roman" w:hAnsi="Times New Roman"/>
      <w:kern w:val="0"/>
      <w:sz w:val="20"/>
      <w:szCs w:val="20"/>
      <w:lang w:val="en-GB" w:eastAsia="nb-NO"/>
    </w:rPr>
  </w:style>
  <w:style w:type="paragraph" w:customStyle="1" w:styleId="56">
    <w:name w:val="修订1"/>
    <w:hidden/>
    <w:unhideWhenUsed/>
    <w:qFormat/>
    <w:uiPriority w:val="99"/>
    <w:rPr>
      <w:rFonts w:ascii="Calibri" w:hAnsi="Calibri" w:eastAsia="宋体" w:cs="Times New Roman"/>
      <w:kern w:val="2"/>
      <w:sz w:val="21"/>
      <w:szCs w:val="22"/>
      <w:lang w:val="en-US" w:eastAsia="zh-CN" w:bidi="ar-SA"/>
    </w:rPr>
  </w:style>
  <w:style w:type="character" w:customStyle="1" w:styleId="57">
    <w:name w:val="font51"/>
    <w:qFormat/>
    <w:uiPriority w:val="0"/>
    <w:rPr>
      <w:rFonts w:hint="default" w:ascii="仿宋_GB2312" w:eastAsia="仿宋_GB2312" w:cs="仿宋_GB2312"/>
      <w:color w:val="000000"/>
      <w:sz w:val="24"/>
      <w:szCs w:val="24"/>
      <w:u w:val="none"/>
      <w:vertAlign w:val="superscript"/>
    </w:rPr>
  </w:style>
  <w:style w:type="character" w:customStyle="1" w:styleId="58">
    <w:name w:val="font41"/>
    <w:qFormat/>
    <w:uiPriority w:val="0"/>
    <w:rPr>
      <w:rFonts w:hint="default" w:ascii="Times New Roman" w:hAnsi="Times New Roman" w:cs="Times New Roman"/>
      <w:color w:val="000000"/>
      <w:sz w:val="28"/>
      <w:szCs w:val="28"/>
      <w:u w:val="none"/>
    </w:rPr>
  </w:style>
  <w:style w:type="character" w:customStyle="1" w:styleId="59">
    <w:name w:val="font11"/>
    <w:qFormat/>
    <w:uiPriority w:val="0"/>
    <w:rPr>
      <w:rFonts w:hint="default" w:ascii="仿宋_GB2312" w:eastAsia="仿宋_GB2312" w:cs="仿宋_GB2312"/>
      <w:color w:val="000000"/>
      <w:sz w:val="24"/>
      <w:szCs w:val="24"/>
      <w:u w:val="none"/>
    </w:rPr>
  </w:style>
  <w:style w:type="character" w:customStyle="1" w:styleId="60">
    <w:name w:val="font21"/>
    <w:qFormat/>
    <w:uiPriority w:val="0"/>
    <w:rPr>
      <w:rFonts w:hint="default" w:ascii="仿宋_GB2312" w:eastAsia="仿宋_GB2312" w:cs="仿宋_GB2312"/>
      <w:color w:val="000000"/>
      <w:sz w:val="28"/>
      <w:szCs w:val="28"/>
      <w:u w:val="none"/>
    </w:rPr>
  </w:style>
  <w:style w:type="paragraph" w:styleId="61">
    <w:name w:val="List Paragraph"/>
    <w:basedOn w:val="1"/>
    <w:qFormat/>
    <w:uiPriority w:val="99"/>
    <w:pPr>
      <w:ind w:firstLine="420" w:firstLineChars="200"/>
    </w:pPr>
  </w:style>
  <w:style w:type="paragraph" w:customStyle="1" w:styleId="62">
    <w:name w:val="列出段落11"/>
    <w:basedOn w:val="1"/>
    <w:qFormat/>
    <w:uiPriority w:val="34"/>
    <w:pPr>
      <w:ind w:firstLine="420" w:firstLineChars="200"/>
    </w:pPr>
  </w:style>
  <w:style w:type="character" w:styleId="63">
    <w:name w:val="Placeholder Text"/>
    <w:basedOn w:val="27"/>
    <w:semiHidden/>
    <w:uiPriority w:val="99"/>
    <w:rPr>
      <w:color w:val="808080"/>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2.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E783BDA-19B5-4F20-80FB-E45AB31FD78A}">
  <ds:schemaRefs/>
</ds:datastoreItem>
</file>

<file path=docProps/app.xml><?xml version="1.0" encoding="utf-8"?>
<Properties xmlns="http://schemas.openxmlformats.org/officeDocument/2006/extended-properties" xmlns:vt="http://schemas.openxmlformats.org/officeDocument/2006/docPropsVTypes">
  <Template>Normal</Template>
  <Company>Users</Company>
  <Pages>11</Pages>
  <Words>714</Words>
  <Characters>4075</Characters>
  <Lines>33</Lines>
  <Paragraphs>9</Paragraphs>
  <TotalTime>1</TotalTime>
  <ScaleCrop>false</ScaleCrop>
  <LinksUpToDate>false</LinksUpToDate>
  <CharactersWithSpaces>4780</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2020-04-01T17:03:00Z</dcterms:created>
  <dc:creator>cgcluoyf</dc:creator>
  <cp:lastModifiedBy>王志凯</cp:lastModifiedBy>
  <cp:lastPrinted>2020-04-02T16:33:00Z</cp:lastPrinted>
  <dcterms:modified xsi:type="dcterms:W3CDTF">2020-04-28T03:47:35Z</dcterms:modified>
  <dc:title>编号：BJ-05-HC-2009～2013-XXX</dc:title>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